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4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广西厚膳食品有限公司</w:t>
      </w:r>
    </w:p>
    <w:p>
      <w:pPr>
        <w:keepNext w:val="0"/>
        <w:keepLines w:val="0"/>
        <w:pageBreakBefore w:val="0"/>
        <w:widowControl w:val="0"/>
        <w:kinsoku/>
        <w:wordWrap/>
        <w:overflowPunct/>
        <w:topLinePunct w:val="0"/>
        <w:autoSpaceDE/>
        <w:autoSpaceDN/>
        <w:bidi w:val="0"/>
        <w:adjustRightInd/>
        <w:snapToGrid/>
        <w:spacing w:line="54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4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4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jc w:val="left"/>
        <w:textAlignment w:val="auto"/>
        <w:rPr>
          <w:rFonts w:hint="eastAsia"/>
        </w:rPr>
      </w:pPr>
      <w:r>
        <w:rPr>
          <w:rFonts w:hint="eastAsia" w:ascii="宋体" w:hAnsi="宋体" w:cs="宋体"/>
          <w:b/>
          <w:color w:val="000000"/>
          <w:sz w:val="28"/>
          <w:szCs w:val="28"/>
          <w:lang w:val="en-US" w:eastAsia="zh-CN"/>
        </w:rPr>
        <w:t>B</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：各类蔬菜、鲜鸡、鲜鸭、水产品（鱼虾等）、豆制品</w:t>
      </w:r>
    </w:p>
    <w:tbl>
      <w:tblPr>
        <w:tblStyle w:val="6"/>
        <w:tblW w:w="9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6721"/>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462"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品类名称</w:t>
            </w:r>
          </w:p>
        </w:tc>
        <w:tc>
          <w:tcPr>
            <w:tcW w:w="6721"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品质要求</w:t>
            </w: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1462"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各种新鲜蔬菜类</w:t>
            </w:r>
          </w:p>
        </w:tc>
        <w:tc>
          <w:tcPr>
            <w:tcW w:w="67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在市内各大型农贸市场一级采购，不得采购含有各种有害物质和农药残留超标的各种蔬菜，无根、无黄叶、压伤、腐烂。每批次产品需提供农残检测报告。</w:t>
            </w:r>
          </w:p>
        </w:tc>
        <w:tc>
          <w:tcPr>
            <w:tcW w:w="1186"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按需供应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0" w:hRule="atLeast"/>
        </w:trPr>
        <w:tc>
          <w:tcPr>
            <w:tcW w:w="1462"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鲜鸡</w:t>
            </w:r>
          </w:p>
        </w:tc>
        <w:tc>
          <w:tcPr>
            <w:tcW w:w="67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（1）供应新鲜光鸡的供应商须提供养殖场出具的当日检疫合格证明和屠宰点检疫部门出具的检验检疫合格证明。</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（2）供应的鸡肉感官性状好，肉色新鲜有弹性，内外处理干净，不注水，不使用化学色素染色，不得提供死鸡肉。病鸡肉。</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（3）保证产品质量，必须是当日屠宰产品，不得供应变质有害的鸡肉产品。</w:t>
            </w:r>
          </w:p>
        </w:tc>
        <w:tc>
          <w:tcPr>
            <w:tcW w:w="1186"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trPr>
        <w:tc>
          <w:tcPr>
            <w:tcW w:w="146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鲜鸭</w:t>
            </w:r>
          </w:p>
        </w:tc>
        <w:tc>
          <w:tcPr>
            <w:tcW w:w="6721" w:type="dxa"/>
            <w:vAlign w:val="center"/>
          </w:tcPr>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（1）供应新鲜光鸭的供应商须提供养殖场出具的当日检疫合格证明和屠宰点检疫部门出具的检验检疫合格证明。</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（2）供应的鸭肉感官性状好，肉色新鲜有弹性，内外处理干净，不注水，不使用化学色素染色，不得提供死鸭肉、病鸭肉。</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（3）保证产品质量，必须是当日屠宰产品，不得供应变质有害的鸭肉产品。</w:t>
            </w:r>
          </w:p>
        </w:tc>
        <w:tc>
          <w:tcPr>
            <w:tcW w:w="1186"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146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水产品(鱼虾等)类</w:t>
            </w:r>
          </w:p>
        </w:tc>
        <w:tc>
          <w:tcPr>
            <w:tcW w:w="6721"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供应的鱼感官性状好，肉色新鲜有弹性，内外处理干净。</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（2）保证产品质量，必须是当日捕捉的产品，不得供应变质有害的鱼产品。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（3）不得提供病死、毒死或死因不明的鱼产品等及其制品。</w:t>
            </w:r>
          </w:p>
        </w:tc>
        <w:tc>
          <w:tcPr>
            <w:tcW w:w="1186"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146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豆制品</w:t>
            </w:r>
          </w:p>
        </w:tc>
        <w:tc>
          <w:tcPr>
            <w:tcW w:w="6721" w:type="dxa"/>
            <w:vAlign w:val="center"/>
          </w:tcPr>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（1）豆腐：呈均匀的白色或浅黄色，有光泽，块形完整，软硬适度，有一定的弹性，质地细嫩，有豆香味，无酸涩等不良气味。</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 xml:space="preserve">    （2）油豆腐：呈金黄色，有光泽，块形完整，无杂质，皮脆，内软嫩内质呈蜂窝状，不粘不散，有油豆腐特有的香气，无酸涩等不良气味。咸香适口。</w:t>
            </w:r>
          </w:p>
        </w:tc>
        <w:tc>
          <w:tcPr>
            <w:tcW w:w="1186"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7天后以书面形式以当期市场批发价变动为依据提出价格调整，在3个工作日内，经双方协商确定当期供应价格。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1、乙方须向甲方缴纳履约保证金</w:t>
      </w:r>
      <w:r>
        <w:rPr>
          <w:rFonts w:hint="eastAsia"/>
          <w:color w:val="000000"/>
          <w:sz w:val="28"/>
          <w:szCs w:val="28"/>
          <w:lang w:eastAsia="zh-CN"/>
        </w:rPr>
        <w:t>：</w:t>
      </w:r>
      <w:r>
        <w:rPr>
          <w:rFonts w:hint="eastAsia"/>
          <w:color w:val="000000"/>
          <w:sz w:val="28"/>
          <w:szCs w:val="28"/>
        </w:rPr>
        <w:t>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w:t>
      </w:r>
      <w:bookmarkStart w:id="0" w:name="_GoBack"/>
      <w:bookmarkEnd w:id="0"/>
      <w:r>
        <w:rPr>
          <w:rFonts w:hint="eastAsia"/>
          <w:b/>
          <w:color w:val="000000"/>
          <w:sz w:val="28"/>
          <w:szCs w:val="28"/>
        </w:rPr>
        <w:t>授权委托人签字加盖单位公章后生效。</w:t>
      </w:r>
    </w:p>
    <w:p>
      <w:pPr>
        <w:spacing w:line="440" w:lineRule="exact"/>
        <w:ind w:firstLine="548" w:firstLineChars="196"/>
        <w:rPr>
          <w:rFonts w:hint="eastAsia"/>
          <w:color w:val="000000"/>
          <w:sz w:val="28"/>
          <w:szCs w:val="28"/>
        </w:rPr>
      </w:pPr>
    </w:p>
    <w:tbl>
      <w:tblPr>
        <w:tblStyle w:val="6"/>
        <w:tblW w:w="92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5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50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广西厚膳食品有限公司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p>
        </w:tc>
        <w:tc>
          <w:tcPr>
            <w:tcW w:w="4508"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南宁市兴宁区天德路九号海尔（东盟）商贸物流中心</w:t>
            </w:r>
            <w:r>
              <w:rPr>
                <w:rFonts w:hint="eastAsia" w:ascii="宋体" w:hAnsi="宋体"/>
                <w:color w:val="000000"/>
                <w:sz w:val="24"/>
                <w:szCs w:val="24"/>
                <w:lang w:val="en-US" w:eastAsia="zh-CN"/>
              </w:rPr>
              <w:t>.家居建材城9#仓库01、02、03、04、05、06号仓库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508"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50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spacing w:line="440" w:lineRule="exact"/>
        <w:rPr>
          <w:rFonts w:hint="eastAsia"/>
          <w:color w:val="000000"/>
        </w:rPr>
      </w:pPr>
    </w:p>
    <w:p>
      <w:pPr>
        <w:spacing w:line="440" w:lineRule="exact"/>
        <w:jc w:val="center"/>
        <w:rPr>
          <w:rFonts w:hint="eastAsia" w:ascii="宋体" w:hAnsi="宋体"/>
          <w:b/>
          <w:bCs/>
          <w:color w:val="000000"/>
          <w:sz w:val="36"/>
          <w:szCs w:val="36"/>
        </w:rPr>
      </w:pPr>
    </w:p>
    <w:p/>
    <w:sectPr>
      <w:footerReference r:id="rId3" w:type="default"/>
      <w:pgSz w:w="11906" w:h="16838"/>
      <w:pgMar w:top="1440" w:right="1417" w:bottom="1440"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F4763"/>
    <w:multiLevelType w:val="singleLevel"/>
    <w:tmpl w:val="3C3F47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5076B9C"/>
    <w:rsid w:val="0A5027FC"/>
    <w:rsid w:val="156C7B06"/>
    <w:rsid w:val="17B0267B"/>
    <w:rsid w:val="1F1A64CC"/>
    <w:rsid w:val="21EB4277"/>
    <w:rsid w:val="22DB2B3F"/>
    <w:rsid w:val="246D7E64"/>
    <w:rsid w:val="27F87DA7"/>
    <w:rsid w:val="2B47434B"/>
    <w:rsid w:val="2C780F43"/>
    <w:rsid w:val="310B6DD8"/>
    <w:rsid w:val="3A7E42DA"/>
    <w:rsid w:val="3A802084"/>
    <w:rsid w:val="3CE35A27"/>
    <w:rsid w:val="3DE05462"/>
    <w:rsid w:val="40340AB3"/>
    <w:rsid w:val="4A107EAF"/>
    <w:rsid w:val="4DC703FE"/>
    <w:rsid w:val="53E81B92"/>
    <w:rsid w:val="59B409EC"/>
    <w:rsid w:val="5CB66C4E"/>
    <w:rsid w:val="62CD4123"/>
    <w:rsid w:val="645768EB"/>
    <w:rsid w:val="67E2075A"/>
    <w:rsid w:val="6E086A8C"/>
    <w:rsid w:val="72595339"/>
    <w:rsid w:val="72A62304"/>
    <w:rsid w:val="76717F7A"/>
    <w:rsid w:val="7741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2020-01-14T08:51:27Z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