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广西春龙蛋品有限公司</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color w:val="000000"/>
          <w:sz w:val="28"/>
          <w:szCs w:val="28"/>
          <w:lang w:eastAsia="zh-CN"/>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C</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：蛋品</w:t>
      </w:r>
    </w:p>
    <w:tbl>
      <w:tblPr>
        <w:tblStyle w:val="5"/>
        <w:tblW w:w="9060" w:type="dxa"/>
        <w:tblInd w:w="2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39"/>
        <w:gridCol w:w="6271"/>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1439" w:type="dxa"/>
            <w:noWrap w:val="0"/>
            <w:vAlign w:val="center"/>
          </w:tcPr>
          <w:p>
            <w:pPr>
              <w:spacing w:line="440" w:lineRule="exact"/>
              <w:ind w:right="-82" w:rightChars="-39"/>
              <w:jc w:val="center"/>
              <w:rPr>
                <w:rFonts w:hint="eastAsia" w:ascii="宋体" w:hAnsi="宋体" w:eastAsia="宋体" w:cs="宋体"/>
                <w:b w:val="0"/>
                <w:bCs w:val="0"/>
                <w:color w:val="000000"/>
                <w:sz w:val="28"/>
                <w:szCs w:val="28"/>
                <w:lang w:eastAsia="zh-CN"/>
              </w:rPr>
            </w:pPr>
            <w:r>
              <w:rPr>
                <w:rFonts w:hint="eastAsia" w:ascii="宋体" w:hAnsi="宋体" w:cs="宋体"/>
                <w:b w:val="0"/>
                <w:bCs w:val="0"/>
                <w:color w:val="000000"/>
                <w:sz w:val="28"/>
                <w:szCs w:val="28"/>
                <w:lang w:eastAsia="zh-CN"/>
              </w:rPr>
              <w:t>品类名称</w:t>
            </w:r>
          </w:p>
        </w:tc>
        <w:tc>
          <w:tcPr>
            <w:tcW w:w="6271"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8"/>
                <w:szCs w:val="28"/>
                <w:lang w:val="en-US" w:eastAsia="zh-CN" w:bidi="ar-SA"/>
              </w:rPr>
            </w:pPr>
            <w:r>
              <w:rPr>
                <w:rFonts w:hint="eastAsia" w:ascii="宋体" w:hAnsi="宋体" w:eastAsia="宋体" w:cs="宋体"/>
                <w:b w:val="0"/>
                <w:bCs w:val="0"/>
                <w:color w:val="000000"/>
                <w:sz w:val="28"/>
                <w:szCs w:val="28"/>
              </w:rPr>
              <w:t>品质要求</w:t>
            </w:r>
          </w:p>
        </w:tc>
        <w:tc>
          <w:tcPr>
            <w:tcW w:w="1350"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8"/>
                <w:szCs w:val="28"/>
                <w:lang w:val="en-US" w:eastAsia="zh-CN" w:bidi="ar-SA"/>
              </w:rPr>
            </w:pPr>
            <w:r>
              <w:rPr>
                <w:rFonts w:hint="eastAsia" w:ascii="宋体" w:hAnsi="宋体" w:cs="宋体"/>
                <w:b w:val="0"/>
                <w:bCs w:val="0"/>
                <w:color w:val="000000"/>
                <w:sz w:val="28"/>
                <w:szCs w:val="28"/>
                <w:lang w:eastAsia="zh-CN"/>
              </w:rPr>
              <w:t>采购</w:t>
            </w:r>
            <w:r>
              <w:rPr>
                <w:rFonts w:hint="eastAsia" w:ascii="宋体" w:hAnsi="宋体" w:eastAsia="宋体" w:cs="宋体"/>
                <w:b w:val="0"/>
                <w:bCs w:val="0"/>
                <w:color w:val="000000"/>
                <w:sz w:val="28"/>
                <w:szCs w:val="28"/>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1" w:hRule="atLeast"/>
        </w:trPr>
        <w:tc>
          <w:tcPr>
            <w:tcW w:w="1439" w:type="dxa"/>
            <w:noWrap w:val="0"/>
            <w:vAlign w:val="center"/>
          </w:tcPr>
          <w:p>
            <w:pPr>
              <w:spacing w:line="440" w:lineRule="exact"/>
              <w:ind w:right="-82" w:rightChars="-39"/>
              <w:jc w:val="center"/>
              <w:rPr>
                <w:rFonts w:hint="eastAsia" w:ascii="宋体" w:hAnsi="宋体" w:eastAsia="宋体" w:cs="宋体"/>
                <w:color w:val="000000"/>
                <w:sz w:val="28"/>
                <w:szCs w:val="28"/>
                <w:lang w:eastAsia="zh-CN"/>
              </w:rPr>
            </w:pPr>
            <w:r>
              <w:rPr>
                <w:rFonts w:hint="eastAsia" w:ascii="宋体" w:hAnsi="宋体" w:cs="宋体"/>
                <w:color w:val="000000"/>
                <w:sz w:val="28"/>
                <w:szCs w:val="28"/>
                <w:lang w:eastAsia="zh-CN"/>
              </w:rPr>
              <w:t>蛋品</w:t>
            </w:r>
          </w:p>
        </w:tc>
        <w:tc>
          <w:tcPr>
            <w:tcW w:w="6271" w:type="dxa"/>
            <w:tcBorders>
              <w:left w:val="single" w:color="auto" w:sz="4" w:space="0"/>
            </w:tcBorders>
            <w:noWrap w:val="0"/>
            <w:vAlign w:val="center"/>
          </w:tcPr>
          <w:p>
            <w:pPr>
              <w:spacing w:line="500" w:lineRule="exact"/>
              <w:ind w:firstLine="560" w:firstLineChars="200"/>
              <w:rPr>
                <w:rFonts w:hint="eastAsia" w:ascii="宋体" w:hAnsi="宋体" w:eastAsia="宋体" w:cs="宋体"/>
                <w:color w:val="000000"/>
                <w:kern w:val="2"/>
                <w:sz w:val="28"/>
                <w:szCs w:val="28"/>
                <w:lang w:val="en-US" w:eastAsia="zh-CN" w:bidi="ar-SA"/>
              </w:rPr>
            </w:pPr>
            <w:r>
              <w:rPr>
                <w:rFonts w:hint="eastAsia"/>
                <w:color w:val="000000"/>
                <w:sz w:val="28"/>
                <w:szCs w:val="28"/>
                <w:lang w:val="en-US" w:eastAsia="zh-CN"/>
              </w:rPr>
              <w:t>所供应的蛋品须满足外壳坚固完整，清洁干燥，色泽自然有光泽，蛋白浓厚透明，蛋黄位于中央，无胚胎发育现象等质量要求。</w:t>
            </w:r>
          </w:p>
        </w:tc>
        <w:tc>
          <w:tcPr>
            <w:tcW w:w="1350" w:type="dxa"/>
            <w:tcBorders>
              <w:left w:val="single" w:color="auto" w:sz="4" w:space="0"/>
            </w:tcBorders>
            <w:noWrap w:val="0"/>
            <w:vAlign w:val="center"/>
          </w:tcPr>
          <w:p>
            <w:pPr>
              <w:spacing w:line="440" w:lineRule="exact"/>
              <w:jc w:val="center"/>
              <w:rPr>
                <w:rFonts w:hint="eastAsia" w:ascii="宋体" w:hAnsi="宋体" w:eastAsia="宋体" w:cs="宋体"/>
                <w:color w:val="000000"/>
                <w:kern w:val="2"/>
                <w:sz w:val="28"/>
                <w:szCs w:val="28"/>
                <w:lang w:val="en-US" w:eastAsia="zh-CN" w:bidi="ar-SA"/>
              </w:rPr>
            </w:pPr>
            <w:r>
              <w:rPr>
                <w:rFonts w:hint="eastAsia" w:ascii="宋体" w:hAnsi="宋体" w:cs="宋体"/>
                <w:color w:val="000000"/>
                <w:sz w:val="28"/>
                <w:szCs w:val="28"/>
                <w:lang w:eastAsia="zh-CN"/>
              </w:rPr>
              <w:t>按需供应</w:t>
            </w: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15天后以书面形式以当期市场批发价变动为依据提出价格调整，在3个工作日内，经双方协商确定当期供应价格。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p>
      <w:pPr>
        <w:spacing w:line="440" w:lineRule="exact"/>
        <w:jc w:val="center"/>
        <w:rPr>
          <w:rFonts w:hint="eastAsia" w:ascii="宋体" w:hAnsi="宋体"/>
          <w:b/>
          <w:bCs/>
          <w:color w:val="000000"/>
          <w:sz w:val="36"/>
          <w:szCs w:val="36"/>
        </w:rPr>
      </w:pPr>
    </w:p>
    <w:tbl>
      <w:tblPr>
        <w:tblStyle w:val="6"/>
        <w:tblW w:w="96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bookmarkStart w:id="0" w:name="_GoBack"/>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广西春龙蛋品有限公司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920"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南宁市壮锦大道</w:t>
            </w:r>
            <w:r>
              <w:rPr>
                <w:rFonts w:hint="eastAsia" w:ascii="宋体" w:hAnsi="宋体"/>
                <w:color w:val="000000"/>
                <w:sz w:val="24"/>
                <w:szCs w:val="24"/>
                <w:lang w:val="en-US" w:eastAsia="zh-CN"/>
              </w:rPr>
              <w:t>27号盛天领域7栋1302号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92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bookmarkEnd w:id="0"/>
    </w:tbl>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3743B2E"/>
    <w:rsid w:val="08EB54F1"/>
    <w:rsid w:val="0A5027FC"/>
    <w:rsid w:val="0D300981"/>
    <w:rsid w:val="17B0267B"/>
    <w:rsid w:val="1F1A64CC"/>
    <w:rsid w:val="21EB4277"/>
    <w:rsid w:val="2B47434B"/>
    <w:rsid w:val="2E804E5C"/>
    <w:rsid w:val="310B6DD8"/>
    <w:rsid w:val="3A7E42DA"/>
    <w:rsid w:val="3A802084"/>
    <w:rsid w:val="3CE35A27"/>
    <w:rsid w:val="3DE05462"/>
    <w:rsid w:val="40340AB3"/>
    <w:rsid w:val="4A107EAF"/>
    <w:rsid w:val="4C2C2BB3"/>
    <w:rsid w:val="4DC703FE"/>
    <w:rsid w:val="53E81B92"/>
    <w:rsid w:val="62CD4123"/>
    <w:rsid w:val="645768EB"/>
    <w:rsid w:val="656E1187"/>
    <w:rsid w:val="67E2075A"/>
    <w:rsid w:val="72595339"/>
    <w:rsid w:val="72A62304"/>
    <w:rsid w:val="76717F7A"/>
    <w:rsid w:val="774111E7"/>
    <w:rsid w:val="7C0A6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2020-01-14T09:09:48Z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