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default"/>
          <w:lang w:val="en-US" w:eastAsia="zh-CN"/>
        </w:rPr>
      </w:pPr>
      <w:r>
        <w:rPr>
          <w:rFonts w:hint="eastAsia"/>
          <w:lang w:val="en-US" w:eastAsia="zh-CN"/>
        </w:rPr>
        <w:t>建筑装饰工程计量与计价课程视频资源</w:t>
      </w:r>
    </w:p>
    <w:p>
      <w:pPr>
        <w:pStyle w:val="5"/>
        <w:bidi w:val="0"/>
        <w:rPr>
          <w:rFonts w:hint="eastAsia"/>
          <w:lang w:val="en-US" w:eastAsia="zh-CN"/>
        </w:rPr>
      </w:pPr>
      <w:r>
        <w:rPr>
          <w:rFonts w:hint="eastAsia"/>
          <w:lang w:val="en-US" w:eastAsia="zh-CN"/>
        </w:rPr>
        <w:t>一、需求清单</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3"/>
        <w:gridCol w:w="1750"/>
        <w:gridCol w:w="1354"/>
        <w:gridCol w:w="1354"/>
        <w:gridCol w:w="1354"/>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课程宣传微课</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8"/>
                <w:rFonts w:hint="default"/>
                <w:lang w:val="en-US" w:eastAsia="zh-CN" w:bidi="ar"/>
              </w:rPr>
            </w:pPr>
            <w:r>
              <w:rPr>
                <w:rStyle w:val="18"/>
                <w:rFonts w:hint="eastAsia"/>
                <w:lang w:val="en-US" w:eastAsia="zh-CN" w:bidi="ar"/>
              </w:rPr>
              <w:t>个</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r>
    </w:tbl>
    <w:p>
      <w:pPr>
        <w:pStyle w:val="5"/>
        <w:numPr>
          <w:ilvl w:val="0"/>
          <w:numId w:val="1"/>
        </w:numPr>
        <w:bidi w:val="0"/>
        <w:rPr>
          <w:rFonts w:hint="eastAsia" w:eastAsia="宋体"/>
          <w:lang w:val="en-US" w:eastAsia="zh-CN"/>
        </w:rPr>
      </w:pPr>
      <w:r>
        <w:rPr>
          <w:rFonts w:hint="eastAsia" w:eastAsia="宋体"/>
          <w:lang w:val="en-US" w:eastAsia="zh-CN"/>
        </w:rPr>
        <w:t>课程明细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2341"/>
        <w:gridCol w:w="4747"/>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7088" w:type="dxa"/>
            <w:gridSpan w:val="2"/>
          </w:tcPr>
          <w:p>
            <w:pPr>
              <w:numPr>
                <w:ilvl w:val="0"/>
                <w:numId w:val="0"/>
              </w:numPr>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模块</w:t>
            </w:r>
          </w:p>
        </w:tc>
        <w:tc>
          <w:tcPr>
            <w:tcW w:w="889"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微课/个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341" w:type="dxa"/>
          </w:tcPr>
          <w:p>
            <w:pPr>
              <w:bidi w:val="0"/>
              <w:spacing w:line="360" w:lineRule="auto"/>
              <w:rPr>
                <w:rFonts w:hint="eastAsia" w:ascii="宋体" w:hAnsi="宋体" w:eastAsia="宋体" w:cs="宋体"/>
                <w:sz w:val="24"/>
                <w:szCs w:val="24"/>
                <w:lang w:val="en-US" w:eastAsia="zh-CN"/>
              </w:rPr>
            </w:pPr>
          </w:p>
          <w:p>
            <w:pPr>
              <w:bidi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建筑装饰工程计量与计价基础知识案例分析</w:t>
            </w:r>
          </w:p>
        </w:tc>
        <w:tc>
          <w:tcPr>
            <w:tcW w:w="4747" w:type="dxa"/>
            <w:vAlign w:val="center"/>
          </w:tcPr>
          <w:p>
            <w:pPr>
              <w:keepNext w:val="0"/>
              <w:keepLines w:val="0"/>
              <w:widowControl/>
              <w:suppressLineNumbers w:val="0"/>
              <w:spacing w:line="360" w:lineRule="auto"/>
              <w:jc w:val="left"/>
              <w:textAlignment w:val="center"/>
              <w:rPr>
                <w:rFonts w:hint="default"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建筑装饰工程概述、工程造价、工程费用、定额应用、工程量清单案例分析，视频时长5-8分钟/个</w:t>
            </w:r>
          </w:p>
        </w:tc>
        <w:tc>
          <w:tcPr>
            <w:tcW w:w="889"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341" w:type="dxa"/>
            <w:vAlign w:val="top"/>
          </w:tcPr>
          <w:p>
            <w:pPr>
              <w:bidi w:val="0"/>
              <w:spacing w:line="360" w:lineRule="auto"/>
              <w:jc w:val="both"/>
              <w:rPr>
                <w:rFonts w:hint="eastAsia" w:ascii="宋体" w:hAnsi="宋体" w:eastAsia="宋体" w:cs="宋体"/>
                <w:sz w:val="24"/>
                <w:szCs w:val="24"/>
                <w:lang w:val="en-US" w:eastAsia="zh-CN"/>
              </w:rPr>
            </w:pPr>
          </w:p>
          <w:p>
            <w:pPr>
              <w:bidi w:val="0"/>
              <w:spacing w:line="360" w:lineRule="auto"/>
              <w:jc w:val="both"/>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建筑装饰装修工程消耗量定额</w:t>
            </w:r>
          </w:p>
        </w:tc>
        <w:tc>
          <w:tcPr>
            <w:tcW w:w="4747"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 T50353-2013/广西壮族自治区建筑装饰装修工程消耗量定额案例分析，视频时长5-8分钟/个</w:t>
            </w:r>
          </w:p>
        </w:tc>
        <w:tc>
          <w:tcPr>
            <w:tcW w:w="889"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341" w:type="dxa"/>
          </w:tcPr>
          <w:p>
            <w:pPr>
              <w:numPr>
                <w:ilvl w:val="0"/>
                <w:numId w:val="0"/>
              </w:numPr>
              <w:spacing w:line="360" w:lineRule="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装饰工程工程量计算规应用案例</w:t>
            </w:r>
          </w:p>
        </w:tc>
        <w:tc>
          <w:tcPr>
            <w:tcW w:w="4747"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装饰工程清单项目计算规则概述，视频时长5-8分钟/个</w:t>
            </w:r>
          </w:p>
        </w:tc>
        <w:tc>
          <w:tcPr>
            <w:tcW w:w="889"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341" w:type="dxa"/>
          </w:tcPr>
          <w:p>
            <w:pPr>
              <w:numPr>
                <w:ilvl w:val="0"/>
                <w:numId w:val="0"/>
              </w:numPr>
              <w:spacing w:line="360" w:lineRule="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工程量清单计价案例应用</w:t>
            </w:r>
          </w:p>
        </w:tc>
        <w:tc>
          <w:tcPr>
            <w:tcW w:w="4747"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楼地面工程基础知识，视频时长5-8分钟/个</w:t>
            </w:r>
          </w:p>
        </w:tc>
        <w:tc>
          <w:tcPr>
            <w:tcW w:w="889"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Pr>
          <w:p>
            <w:pPr>
              <w:numPr>
                <w:ilvl w:val="0"/>
                <w:numId w:val="0"/>
              </w:numPr>
              <w:spacing w:line="360" w:lineRule="auto"/>
              <w:rPr>
                <w:rFonts w:hint="eastAsia" w:ascii="宋体" w:hAnsi="宋体" w:eastAsia="宋体" w:cs="宋体"/>
                <w:sz w:val="24"/>
                <w:szCs w:val="24"/>
                <w:vertAlign w:val="baseline"/>
                <w:lang w:val="en-US" w:eastAsia="zh-CN"/>
              </w:rPr>
            </w:pPr>
          </w:p>
        </w:tc>
        <w:tc>
          <w:tcPr>
            <w:tcW w:w="2341"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4747"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p>
        </w:tc>
        <w:tc>
          <w:tcPr>
            <w:tcW w:w="889" w:type="dxa"/>
          </w:tcPr>
          <w:p>
            <w:pPr>
              <w:numPr>
                <w:ilvl w:val="0"/>
                <w:numId w:val="0"/>
              </w:numPr>
              <w:spacing w:line="360" w:lineRule="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r>
    </w:tbl>
    <w:p>
      <w:pPr>
        <w:numPr>
          <w:ilvl w:val="0"/>
          <w:numId w:val="0"/>
        </w:numPr>
        <w:rPr>
          <w:rFonts w:hint="eastAsia"/>
          <w:lang w:val="en-US" w:eastAsia="zh-CN"/>
        </w:rPr>
      </w:pPr>
    </w:p>
    <w:p>
      <w:pPr>
        <w:pStyle w:val="5"/>
        <w:bidi w:val="0"/>
        <w:rPr>
          <w:rFonts w:hint="eastAsia" w:eastAsia="宋体"/>
          <w:lang w:val="en-US" w:eastAsia="zh-CN"/>
        </w:rPr>
      </w:pPr>
      <w:r>
        <w:rPr>
          <w:rFonts w:hint="eastAsia" w:eastAsia="宋体"/>
          <w:lang w:val="en-US" w:eastAsia="zh-CN"/>
        </w:rPr>
        <w:t>三、技术参数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597"/>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0" w:type="auto"/>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产品名称</w:t>
            </w:r>
          </w:p>
        </w:tc>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0" w:type="auto"/>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微课</w:t>
            </w:r>
          </w:p>
        </w:tc>
        <w:tc>
          <w:tcPr>
            <w:tcW w:w="0" w:type="auto"/>
            <w:vAlign w:val="center"/>
          </w:tcPr>
          <w:p>
            <w:pPr>
              <w:pStyle w:val="19"/>
              <w:spacing w:line="276" w:lineRule="auto"/>
              <w:ind w:firstLine="442"/>
              <w:jc w:val="left"/>
              <w:rPr>
                <w:rFonts w:hint="eastAsia" w:ascii="宋体" w:hAnsi="宋体" w:eastAsia="宋体" w:cs="宋体"/>
                <w:b/>
                <w:sz w:val="24"/>
                <w:szCs w:val="24"/>
              </w:rPr>
            </w:pPr>
            <w:r>
              <w:rPr>
                <w:rFonts w:hint="eastAsia" w:ascii="宋体" w:hAnsi="宋体" w:eastAsia="宋体" w:cs="宋体"/>
                <w:b/>
                <w:sz w:val="24"/>
                <w:szCs w:val="24"/>
              </w:rPr>
              <w:t>1.制作前期准备</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（1）采购人提供课程标准、教案、教学课件（PPT 等)及脚本，供应商按采购人要求，根据教学内容特点，按照教学设计脚本的要求制作一定的图、表、动画、视频及必要的过渡效果等，供应商提供课程资源库所选的各种类型的素材资源。</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（2）根据课程性质，供应商提供不少于以下6种的拍摄模式供采购人选择（不限以下制作呈现模式）：</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图文演绎模式：在摄影棚内采集声音，全程PPT图文动态演示。</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实操实验模式：在摄影棚内拍摄，通过实际操作演示、讲解，完成教学过程。</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实景模式：在实景场地按照脚本设计完成课程拍摄，根据教师讲课风格特点，后期配动态素材，以增加课程趣味性。</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虚拟抠像模式：根据教师课程需求，设计虚拟背景，使用虚拟绿幕抠图，制作带虚拟背景的微课。</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课堂实景模式：根据教师课程需求，在课室环境内进行课堂实录，场景中有讲台、大屏，大屏演示ppt教学内容，教师在讲述的过程中可与台下学员交流互动，开放性的学习，有利于不同层次的学员在创设的时间和空间中更自由地发挥和主动学习。</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录屏AE包装模式：全程录制电脑屏幕，须保证视频画面的美观流畅，后期通过AE包装软件制作具体课程特性的动态效果。</w:t>
            </w:r>
          </w:p>
          <w:p>
            <w:pPr>
              <w:pStyle w:val="19"/>
              <w:spacing w:line="276" w:lineRule="auto"/>
              <w:ind w:firstLine="442"/>
              <w:jc w:val="left"/>
              <w:rPr>
                <w:rFonts w:hint="eastAsia" w:ascii="宋体" w:hAnsi="宋体" w:eastAsia="宋体" w:cs="宋体"/>
                <w:b/>
                <w:sz w:val="24"/>
                <w:szCs w:val="24"/>
              </w:rPr>
            </w:pPr>
            <w:r>
              <w:rPr>
                <w:rFonts w:hint="eastAsia" w:ascii="宋体" w:hAnsi="宋体" w:eastAsia="宋体" w:cs="宋体"/>
                <w:b/>
                <w:sz w:val="24"/>
                <w:szCs w:val="24"/>
              </w:rPr>
              <w:t>2.视频制作要求</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（1）相关指标</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bCs/>
                <w:sz w:val="24"/>
                <w:szCs w:val="24"/>
              </w:rPr>
              <w:t>根据课程设计，按照课程框架，分单元完成知识点内容的拍摄和后期制作，提供不同的拍摄模式供采购人选择</w:t>
            </w:r>
            <w:r>
              <w:rPr>
                <w:rFonts w:hint="eastAsia" w:ascii="宋体" w:hAnsi="宋体" w:eastAsia="宋体" w:cs="宋体"/>
                <w:sz w:val="24"/>
                <w:szCs w:val="24"/>
                <w:lang w:bidi="zh-CN"/>
              </w:rPr>
              <w:t>。</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全片图像同步性能稳定，不出现空画面。画面无明显抖动跳跃、摇晃、倾斜、虚焦、噪点、色彩突变等现象，编辑点处图像稳定。</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视频色调白平衡正确，无明显偏色，多机拍摄的镜头衔接处无明显色差。曝光适当，灯光运用合理，无阴影，无布光不均现象。</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视频信噪比不低于55dB，无明显杂波。</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视频压缩采用 H.264/AVC (MPEG-4 Part10)编码、 MP4 格式。最低码率不得低于 1024Kbps。</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视频拍摄前期采用高清 16:9，拍摄分辨率不低于 1920*1080，在同一课程中，各讲的视频分辨率和画幅的宽高比应统一，不得混用。</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 xml:space="preserve">视频帧率≥30帧/秒。扫描方式采用逐行扫描。  </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（2）片头片尾相关指标</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 xml:space="preserve">片头、片尾各 10 秒左右（不计入总时长），可包括:学校LOGO、课程名称、讲次、主讲教师姓名、专业技术职务、单位等信息。片尾包括版权单位、制作单位、制作人、录制时间等信息。（项目特殊要求除外）  </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（3）字幕制作要求</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根据课程建设要求的具体实际确定是否增加字幕，字幕制作形式可选择内嵌字幕或外挂字幕。</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①内嵌字幕相关指标</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要使用符合国家标准的规范字，不出现繁体字、异体字(国家规定的除外)、错别字；字幕的字体、大小、色彩搭配、摆放位置、停留时间、出入屏方式力求与其他要素（画面、解说词、音乐）配合适当，不能破坏原有画面。</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②外挂字幕文件技术要求</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独立的 SRT 格式的字幕文件;</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行数要求：每屏只有一行字幕；</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字幕的字数要求：每行不超过 20 个字。</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字幕的位置：保持每屏唱词出现位置一致，且居中。</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字幕中的标点符号：只有书名号及书名号中的标点、间隔号、连接号、具有特殊含意的词语的引号可以出现在字幕中，在每屏字幕中用空格代替标点表示语气停顿，所有标点及空格均使用全角。</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字幕的断句：不简单按照字数断句，以内容为断句依据。</w:t>
            </w:r>
          </w:p>
          <w:p>
            <w:pPr>
              <w:pStyle w:val="19"/>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幕中的数学公式、化学分子式、物理量和单位，尽量以文本文字呈现；不宜用文本文字呈现的且在视频画面中已经通过 PPT、板书等方式显示清楚的，可以不加该行字幕。</w:t>
            </w:r>
          </w:p>
          <w:p>
            <w:pPr>
              <w:pStyle w:val="19"/>
              <w:numPr>
                <w:ilvl w:val="0"/>
                <w:numId w:val="2"/>
              </w:numPr>
              <w:spacing w:line="276" w:lineRule="auto"/>
              <w:ind w:firstLine="440"/>
              <w:jc w:val="left"/>
              <w:rPr>
                <w:rFonts w:hint="eastAsia" w:ascii="宋体" w:hAnsi="宋体" w:eastAsia="宋体" w:cs="宋体"/>
                <w:sz w:val="24"/>
                <w:szCs w:val="24"/>
              </w:rPr>
            </w:pPr>
            <w:r>
              <w:rPr>
                <w:rFonts w:hint="eastAsia" w:ascii="宋体" w:hAnsi="宋体" w:eastAsia="宋体" w:cs="宋体"/>
                <w:sz w:val="24"/>
                <w:szCs w:val="24"/>
              </w:rPr>
              <w:t>格式：mp4格式。</w:t>
            </w:r>
          </w:p>
          <w:p>
            <w:pPr>
              <w:pStyle w:val="2"/>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highlight w:val="none"/>
                <w:vertAlign w:val="baseline"/>
                <w:lang w:val="en-US" w:eastAsia="zh-CN"/>
              </w:rPr>
              <w:t>三、为使课程更好的服务于教学，供应商需提供建筑装饰工程技术施工虚拟仿真系统试用，辅助前期的课程学习（50个节点，试用3个月）</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（一）整体功能</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系统包含弹线放样工程施工、水电暖工程施工、顶面工程施工、墙面工程施工、地面工程施工、卫生间工程施工、厨房工程施工、其他工程施工模块。</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（二）技术要求</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1、实训系统以 “建筑装饰设计与施工流程”为依托，以“弹线放样工程施工、水电暖工程施工、顶面工程施工、墙面工程施工、地面工程施工、卫生间工程施工、厨房工程施工、其他工程施工”八大模块为核心技术要点，采用虚拟仿真unity3D技术，构建三维仿真环境场景，模拟八大模块的施工工艺，使学生在模拟交互中掌握施工工艺的技术要点。</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2、系统能够通过PC端键盘与鼠标，实现建筑装饰施工技术的虚拟体验交互。学生在系统中可以选择一个真实的建筑装饰工程实例。</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3、系统可提供施工图纸、施工规范、教学案例等学习内容，学习内容覆盖专业核心课的全部施工流程。</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4、使用者通过键盘和鼠标，随意在场景内自由漫游。</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5、系统软件设有快捷键，执行任务时配合快捷键的使用，使体验感更加的流畅</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6、系统软件支持任务栏操作：</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具备详细的操作说明，指引学生学习和实操；支持大步骤和小步骤的来回跳转，可无限重复学习自己想要学习的施工步骤。</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7、系统软件支持图纸栏选择：</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图纸兰功能分为图纸栏和图集栏，图纸栏为当前任务所需要的图纸，方便查看。图集栏为整个程序里包含的所有图纸，让学生有个整体的把控</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8、互动实训：使用者能在系统内按照施工流程，根据提示框和任务栏里的任务说明进行操作，针对具体工序，通过点击拖拽等操作，在三维室内环境中与各种施工工具和施工耗材进行互动操作，完成实训项目；</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9、系统需包含的实训项目</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▲（1）弹线放样工程施工需包含主控线弹线放样、隐蔽工程弹线放样、关键点弹线放样。</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▲（2）水电暖工程施工需包含水地暖管铺设、墙面线槽开槽、配管穿线安装。</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▲（3）顶面工程施工需包含纸面石膏板平顶装饰、叠级吊顶+空调出风口、反光灯槽+窗帘盒、叠级+石膏线吊顶装饰。</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（4）墙面工程施工需包含乳胶漆饰面装饰、石材干挂饰面装饰、壁纸饰面装饰、壁纸与木饰面衔接装饰。</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▲（5）地面工程施工需包含防水工程施工、瓷砖地面施工、木地板地面施工。</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▲（6）卫生间工程施工需包含墙面瓷砖铺贴施工、地面瓷砖铺贴施工、铝扣板顶面施工、安装工程施工。</w:t>
            </w:r>
          </w:p>
          <w:p>
            <w:pPr>
              <w:pStyle w:val="2"/>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（7）厨房工程施工需包含墙面瓷砖铺贴施工、地面瓷砖铺贴施工、铝扣板顶面施工、安装工程施工。</w:t>
            </w:r>
          </w:p>
          <w:p>
            <w:pPr>
              <w:pStyle w:val="19"/>
              <w:numPr>
                <w:ilvl w:val="0"/>
                <w:numId w:val="0"/>
              </w:numPr>
              <w:spacing w:line="276"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（8）其他工程施工需包含木门窗套安装、固定家具安装、开关面板灯具照明安转、软装成果展示。</w:t>
            </w:r>
          </w:p>
        </w:tc>
      </w:tr>
    </w:tbl>
    <w:p>
      <w:pPr>
        <w:rPr>
          <w:rFonts w:hint="default"/>
          <w:lang w:val="en-US" w:eastAsia="zh-CN"/>
        </w:rPr>
      </w:pPr>
    </w:p>
    <w:p>
      <w:pPr>
        <w:rPr>
          <w:rFonts w:hint="default"/>
          <w:lang w:val="en-US" w:eastAsia="zh-CN"/>
        </w:rPr>
      </w:pPr>
      <w:r>
        <w:rPr>
          <w:rFonts w:hint="eastAsia"/>
          <w:lang w:val="en-US" w:eastAsia="zh-CN"/>
        </w:rPr>
        <w:t>报价公司（公司名称）：                            联系人：     联系电话：</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C8420"/>
    <w:multiLevelType w:val="singleLevel"/>
    <w:tmpl w:val="877C8420"/>
    <w:lvl w:ilvl="0" w:tentative="0">
      <w:start w:val="4"/>
      <w:numFmt w:val="decimal"/>
      <w:suff w:val="nothing"/>
      <w:lvlText w:val="（%1）"/>
      <w:lvlJc w:val="left"/>
    </w:lvl>
  </w:abstractNum>
  <w:abstractNum w:abstractNumId="1">
    <w:nsid w:val="C913EEE5"/>
    <w:multiLevelType w:val="singleLevel"/>
    <w:tmpl w:val="C913EEE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000000"/>
    <w:rsid w:val="02D21DDC"/>
    <w:rsid w:val="079C59AE"/>
    <w:rsid w:val="0C4158E6"/>
    <w:rsid w:val="0D28015E"/>
    <w:rsid w:val="11787A56"/>
    <w:rsid w:val="1431345F"/>
    <w:rsid w:val="161A5AD5"/>
    <w:rsid w:val="17400995"/>
    <w:rsid w:val="1B456F13"/>
    <w:rsid w:val="261078B7"/>
    <w:rsid w:val="28AA0305"/>
    <w:rsid w:val="29423C7B"/>
    <w:rsid w:val="367F2EF3"/>
    <w:rsid w:val="36ED033F"/>
    <w:rsid w:val="3D46184F"/>
    <w:rsid w:val="4A4C2E3F"/>
    <w:rsid w:val="4FC36BDC"/>
    <w:rsid w:val="50E769F7"/>
    <w:rsid w:val="51015584"/>
    <w:rsid w:val="519866AB"/>
    <w:rsid w:val="51C103C5"/>
    <w:rsid w:val="59707F6C"/>
    <w:rsid w:val="5E4E6AAE"/>
    <w:rsid w:val="62A20580"/>
    <w:rsid w:val="68EC49D9"/>
    <w:rsid w:val="706A1AFA"/>
    <w:rsid w:val="723F771E"/>
    <w:rsid w:val="742568F2"/>
    <w:rsid w:val="74567956"/>
    <w:rsid w:val="753D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240" w:lineRule="auto"/>
      <w:jc w:val="left"/>
      <w:outlineLvl w:val="0"/>
    </w:pPr>
    <w:rPr>
      <w:rFonts w:eastAsia="宋体" w:asciiTheme="minorAscii" w:hAnsiTheme="minorAscii"/>
      <w:b/>
      <w:kern w:val="44"/>
      <w:sz w:val="32"/>
    </w:rPr>
  </w:style>
  <w:style w:type="paragraph" w:styleId="5">
    <w:name w:val="heading 2"/>
    <w:basedOn w:val="1"/>
    <w:next w:val="1"/>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宋体"/>
      <w:b/>
      <w:sz w:val="30"/>
    </w:rPr>
  </w:style>
  <w:style w:type="paragraph" w:styleId="6">
    <w:name w:val="heading 3"/>
    <w:basedOn w:val="1"/>
    <w:next w:val="1"/>
    <w:semiHidden/>
    <w:unhideWhenUsed/>
    <w:qFormat/>
    <w:uiPriority w:val="0"/>
    <w:pPr>
      <w:keepNext/>
      <w:keepLines/>
      <w:spacing w:before="260" w:beforeLines="0" w:beforeAutospacing="0" w:after="260" w:afterLines="0" w:afterAutospacing="0" w:line="240" w:lineRule="auto"/>
      <w:jc w:val="left"/>
      <w:outlineLvl w:val="2"/>
    </w:pPr>
    <w:rPr>
      <w:rFonts w:eastAsia="宋体" w:asciiTheme="minorAscii" w:hAnsiTheme="minorAscii"/>
      <w:b/>
      <w:sz w:val="28"/>
    </w:rPr>
  </w:style>
  <w:style w:type="paragraph" w:styleId="7">
    <w:name w:val="heading 4"/>
    <w:basedOn w:val="1"/>
    <w:next w:val="1"/>
    <w:semiHidden/>
    <w:unhideWhenUsed/>
    <w:qFormat/>
    <w:uiPriority w:val="0"/>
    <w:pPr>
      <w:keepNext/>
      <w:keepLines/>
      <w:spacing w:before="280" w:beforeLines="0" w:beforeAutospacing="0" w:after="290" w:afterLines="0" w:afterAutospacing="0" w:line="240" w:lineRule="auto"/>
      <w:jc w:val="left"/>
      <w:outlineLvl w:val="3"/>
    </w:pPr>
    <w:rPr>
      <w:rFonts w:ascii="Arial" w:hAnsi="Arial" w:eastAsia="宋体"/>
      <w:b/>
      <w:sz w:val="24"/>
    </w:rPr>
  </w:style>
  <w:style w:type="paragraph" w:styleId="8">
    <w:name w:val="heading 5"/>
    <w:basedOn w:val="1"/>
    <w:next w:val="1"/>
    <w:semiHidden/>
    <w:unhideWhenUsed/>
    <w:qFormat/>
    <w:uiPriority w:val="0"/>
    <w:pPr>
      <w:keepNext/>
      <w:keepLines/>
      <w:spacing w:before="280" w:beforeLines="0" w:beforeAutospacing="0" w:after="290" w:afterLines="0" w:afterAutospacing="0" w:line="240" w:lineRule="auto"/>
      <w:outlineLvl w:val="4"/>
    </w:pPr>
    <w:rPr>
      <w:rFonts w:eastAsia="宋体" w:asciiTheme="minorAscii" w:hAnsiTheme="minorAscii"/>
      <w:b/>
      <w:sz w:val="24"/>
    </w:rPr>
  </w:style>
  <w:style w:type="paragraph" w:styleId="9">
    <w:name w:val="heading 6"/>
    <w:basedOn w:val="1"/>
    <w:next w:val="1"/>
    <w:semiHidden/>
    <w:unhideWhenUsed/>
    <w:qFormat/>
    <w:uiPriority w:val="0"/>
    <w:pPr>
      <w:keepNext/>
      <w:keepLines/>
      <w:spacing w:before="240" w:beforeLines="0" w:beforeAutospacing="0" w:after="64" w:afterLines="0" w:afterAutospacing="0" w:line="240" w:lineRule="auto"/>
      <w:outlineLvl w:val="5"/>
    </w:pPr>
    <w:rPr>
      <w:rFonts w:ascii="Arial" w:hAnsi="Arial" w:eastAsia="宋体"/>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pacing w:after="60" w:line="360" w:lineRule="atLeast"/>
      <w:ind w:left="72" w:leftChars="30" w:right="30" w:rightChars="30"/>
      <w:jc w:val="center"/>
      <w:textAlignment w:val="baseline"/>
    </w:pPr>
    <w:rPr>
      <w:kern w:val="0"/>
      <w:sz w:val="20"/>
      <w:szCs w:val="20"/>
    </w:rPr>
  </w:style>
  <w:style w:type="paragraph" w:styleId="3">
    <w:name w:val="Body Text 2"/>
    <w:basedOn w:val="1"/>
    <w:qFormat/>
    <w:uiPriority w:val="0"/>
    <w:pPr>
      <w:widowControl/>
      <w:spacing w:before="100" w:beforeAutospacing="1" w:after="100" w:afterAutospacing="1"/>
      <w:jc w:val="left"/>
    </w:pPr>
    <w:rPr>
      <w:rFonts w:ascii="宋体" w:hAnsi="宋体" w:cs="宋体"/>
      <w:kern w:val="0"/>
      <w:sz w:val="24"/>
    </w:rPr>
  </w:style>
  <w:style w:type="paragraph" w:styleId="10">
    <w:name w:val="Block Text"/>
    <w:basedOn w:val="1"/>
    <w:next w:val="7"/>
    <w:qFormat/>
    <w:uiPriority w:val="0"/>
    <w:pPr>
      <w:kinsoku w:val="0"/>
      <w:autoSpaceDE w:val="0"/>
      <w:autoSpaceDN w:val="0"/>
      <w:adjustRightInd w:val="0"/>
      <w:snapToGrid w:val="0"/>
      <w:spacing w:line="500" w:lineRule="exact"/>
      <w:ind w:left="391" w:right="246"/>
      <w:jc w:val="left"/>
      <w:textAlignment w:val="baseline"/>
    </w:pPr>
    <w:rPr>
      <w:rFonts w:ascii="仿宋_GB2312" w:hAnsi="Arial" w:eastAsia="仿宋_GB2312" w:cs="Arial"/>
      <w:snapToGrid w:val="0"/>
      <w:color w:val="000000"/>
      <w:kern w:val="0"/>
      <w:sz w:val="24"/>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文本"/>
    <w:basedOn w:val="1"/>
    <w:qFormat/>
    <w:uiPriority w:val="0"/>
    <w:pPr>
      <w:spacing w:line="360" w:lineRule="auto"/>
      <w:ind w:firstLine="883" w:firstLineChars="200"/>
      <w:jc w:val="left"/>
    </w:pPr>
    <w:rPr>
      <w:rFonts w:eastAsia="宋体" w:cs="Times New Roman" w:asciiTheme="minorAscii" w:hAnsiTheme="minorAscii"/>
      <w:sz w:val="24"/>
    </w:rPr>
  </w:style>
  <w:style w:type="paragraph" w:customStyle="1" w:styleId="15">
    <w:name w:val="表格文本"/>
    <w:basedOn w:val="1"/>
    <w:qFormat/>
    <w:uiPriority w:val="0"/>
    <w:pPr>
      <w:spacing w:line="360" w:lineRule="auto"/>
      <w:jc w:val="left"/>
    </w:pPr>
    <w:rPr>
      <w:rFonts w:eastAsia="宋体" w:cs="Times New Roman" w:asciiTheme="minorAscii" w:hAnsiTheme="minorAscii"/>
      <w:sz w:val="24"/>
      <w:szCs w:val="21"/>
    </w:rPr>
  </w:style>
  <w:style w:type="character" w:customStyle="1" w:styleId="16">
    <w:name w:val="font11"/>
    <w:basedOn w:val="13"/>
    <w:qFormat/>
    <w:uiPriority w:val="0"/>
    <w:rPr>
      <w:rFonts w:hint="eastAsia" w:ascii="宋体" w:hAnsi="宋体" w:eastAsia="宋体" w:cs="宋体"/>
      <w:b/>
      <w:bCs/>
      <w:color w:val="000000"/>
      <w:sz w:val="24"/>
      <w:szCs w:val="24"/>
      <w:u w:val="none"/>
    </w:rPr>
  </w:style>
  <w:style w:type="character" w:customStyle="1" w:styleId="17">
    <w:name w:val="font21"/>
    <w:basedOn w:val="13"/>
    <w:qFormat/>
    <w:uiPriority w:val="0"/>
    <w:rPr>
      <w:rFonts w:hint="eastAsia" w:ascii="宋体" w:hAnsi="宋体" w:eastAsia="宋体" w:cs="宋体"/>
      <w:color w:val="000000"/>
      <w:sz w:val="24"/>
      <w:szCs w:val="24"/>
      <w:u w:val="none"/>
    </w:rPr>
  </w:style>
  <w:style w:type="character" w:customStyle="1" w:styleId="18">
    <w:name w:val="font31"/>
    <w:basedOn w:val="13"/>
    <w:qFormat/>
    <w:uiPriority w:val="0"/>
    <w:rPr>
      <w:rFonts w:hint="eastAsia" w:ascii="宋体" w:hAnsi="宋体" w:eastAsia="宋体" w:cs="宋体"/>
      <w:color w:val="000000"/>
      <w:sz w:val="24"/>
      <w:szCs w:val="24"/>
      <w:u w:val="none"/>
    </w:rPr>
  </w:style>
  <w:style w:type="paragraph" w:customStyle="1" w:styleId="19">
    <w:name w:val="表格文"/>
    <w:basedOn w:val="20"/>
    <w:qFormat/>
    <w:uiPriority w:val="0"/>
    <w:rPr>
      <w:rFonts w:eastAsia="宋体"/>
      <w:sz w:val="21"/>
      <w:lang w:eastAsia="zh-CN"/>
    </w:rPr>
  </w:style>
  <w:style w:type="paragraph" w:customStyle="1" w:styleId="20">
    <w:name w:val="Default"/>
    <w:next w:val="1"/>
    <w:qFormat/>
    <w:uiPriority w:val="0"/>
    <w:pPr>
      <w:widowControl w:val="0"/>
      <w:autoSpaceDE w:val="0"/>
      <w:autoSpaceDN w:val="0"/>
      <w:adjustRightInd w:val="0"/>
    </w:pPr>
    <w:rPr>
      <w:rFonts w:ascii="Arial,Bold" w:hAnsi="Arial,Bold" w:eastAsia="PMingLiU"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1533</Words>
  <Characters>1623</Characters>
  <Lines>0</Lines>
  <Paragraphs>0</Paragraphs>
  <TotalTime>2</TotalTime>
  <ScaleCrop>false</ScaleCrop>
  <LinksUpToDate>false</LinksUpToDate>
  <CharactersWithSpaces>1644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2022-03-11T00:33:00Z</dcterms:created>
  <dc:creator>Administrator</dc:creator>
  <cp:lastModifiedBy>唐文显</cp:lastModifiedBy>
  <dcterms:modified xsi:type="dcterms:W3CDTF">2023-11-22T10:52:52Z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55C5AF09EDF54AF8938AAA35A30B02B3_13</vt:lpwstr>
  </property>
</Properties>
</file>