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hint="eastAsia" w:ascii="宋体" w:hAnsi="宋体" w:eastAsia="宋体" w:cs="宋体"/>
          <w:b/>
          <w:bCs/>
          <w:kern w:val="0"/>
          <w:sz w:val="36"/>
          <w:szCs w:val="36"/>
          <w:lang w:val="en-US" w:eastAsia="zh-CN" w:bidi="ar"/>
        </w:rPr>
      </w:pPr>
      <w:bookmarkStart w:id="0" w:name="_GoBack"/>
      <w:bookmarkEnd w:id="0"/>
      <w:r>
        <w:rPr>
          <w:rFonts w:hint="eastAsia" w:ascii="宋体" w:hAnsi="宋体" w:eastAsia="宋体" w:cs="宋体"/>
          <w:b/>
          <w:bCs/>
          <w:kern w:val="0"/>
          <w:sz w:val="36"/>
          <w:szCs w:val="36"/>
          <w:lang w:val="en-US" w:eastAsia="zh-CN" w:bidi="ar"/>
        </w:rPr>
        <w:t>工业机器人及视觉技术设备升级包采购清单</w:t>
      </w:r>
    </w:p>
    <w:p>
      <w:pPr>
        <w:rPr>
          <w:color w:val="000000" w:themeColor="text1"/>
          <w14:textFill>
            <w14:solidFill>
              <w14:schemeClr w14:val="tx1"/>
            </w14:solidFill>
          </w14:textFill>
        </w:rPr>
      </w:pPr>
    </w:p>
    <w:tbl>
      <w:tblPr>
        <w:tblStyle w:val="12"/>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71"/>
        <w:gridCol w:w="630"/>
        <w:gridCol w:w="4369"/>
        <w:gridCol w:w="789"/>
        <w:gridCol w:w="92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9" w:type="pct"/>
            <w:vAlign w:val="center"/>
          </w:tcPr>
          <w:p>
            <w:pPr>
              <w:spacing w:line="240" w:lineRule="auto"/>
              <w:jc w:val="center"/>
              <w:rPr>
                <w:vertAlign w:val="baseline"/>
              </w:rPr>
            </w:pPr>
            <w:r>
              <w:rPr>
                <w:rFonts w:hint="eastAsia"/>
                <w:szCs w:val="21"/>
              </w:rPr>
              <w:t>序号</w:t>
            </w:r>
          </w:p>
        </w:tc>
        <w:tc>
          <w:tcPr>
            <w:tcW w:w="275" w:type="pct"/>
            <w:vAlign w:val="center"/>
          </w:tcPr>
          <w:p>
            <w:pPr>
              <w:spacing w:line="240" w:lineRule="auto"/>
              <w:jc w:val="center"/>
              <w:rPr>
                <w:vertAlign w:val="baseline"/>
              </w:rPr>
            </w:pPr>
            <w:r>
              <w:rPr>
                <w:rFonts w:hint="eastAsia"/>
                <w:szCs w:val="21"/>
              </w:rPr>
              <w:t>品目名称</w:t>
            </w:r>
          </w:p>
        </w:tc>
        <w:tc>
          <w:tcPr>
            <w:tcW w:w="368" w:type="pct"/>
            <w:vAlign w:val="center"/>
          </w:tcPr>
          <w:p>
            <w:pPr>
              <w:spacing w:line="240" w:lineRule="auto"/>
              <w:jc w:val="center"/>
              <w:rPr>
                <w:rFonts w:hint="eastAsia" w:eastAsiaTheme="minorEastAsia"/>
                <w:szCs w:val="21"/>
                <w:lang w:val="en-US" w:eastAsia="zh-CN"/>
              </w:rPr>
            </w:pPr>
            <w:r>
              <w:rPr>
                <w:rFonts w:hint="eastAsia"/>
                <w:szCs w:val="21"/>
                <w:lang w:val="en-US" w:eastAsia="zh-CN"/>
              </w:rPr>
              <w:t>型号</w:t>
            </w:r>
          </w:p>
        </w:tc>
        <w:tc>
          <w:tcPr>
            <w:tcW w:w="2553" w:type="pct"/>
            <w:vAlign w:val="center"/>
          </w:tcPr>
          <w:p>
            <w:pPr>
              <w:spacing w:line="240" w:lineRule="auto"/>
              <w:jc w:val="center"/>
              <w:rPr>
                <w:vertAlign w:val="baseline"/>
              </w:rPr>
            </w:pPr>
            <w:r>
              <w:rPr>
                <w:rFonts w:hint="eastAsia"/>
                <w:szCs w:val="21"/>
              </w:rPr>
              <w:t>技术参数</w:t>
            </w:r>
          </w:p>
        </w:tc>
        <w:tc>
          <w:tcPr>
            <w:tcW w:w="461" w:type="pct"/>
            <w:vAlign w:val="center"/>
          </w:tcPr>
          <w:p>
            <w:pPr>
              <w:spacing w:line="240" w:lineRule="auto"/>
              <w:jc w:val="center"/>
              <w:rPr>
                <w:rFonts w:hint="default" w:eastAsiaTheme="minorEastAsia"/>
                <w:vertAlign w:val="baseline"/>
                <w:lang w:val="en-US" w:eastAsia="zh-CN"/>
              </w:rPr>
            </w:pPr>
            <w:r>
              <w:rPr>
                <w:rFonts w:hint="eastAsia"/>
                <w:szCs w:val="21"/>
              </w:rPr>
              <w:t>数量</w:t>
            </w:r>
            <w:r>
              <w:rPr>
                <w:rFonts w:hint="eastAsia"/>
                <w:szCs w:val="21"/>
                <w:lang w:val="en-US" w:eastAsia="zh-CN"/>
              </w:rPr>
              <w:t>/单位</w:t>
            </w:r>
          </w:p>
        </w:tc>
        <w:tc>
          <w:tcPr>
            <w:tcW w:w="535" w:type="pct"/>
            <w:vAlign w:val="center"/>
          </w:tcPr>
          <w:p>
            <w:pPr>
              <w:spacing w:line="240" w:lineRule="auto"/>
              <w:jc w:val="center"/>
              <w:rPr>
                <w:rFonts w:hint="default" w:eastAsiaTheme="minorEastAsia"/>
                <w:szCs w:val="21"/>
                <w:lang w:val="en-US" w:eastAsia="zh-CN"/>
              </w:rPr>
            </w:pPr>
            <w:r>
              <w:rPr>
                <w:rFonts w:hint="eastAsia"/>
                <w:szCs w:val="21"/>
                <w:lang w:val="en-US" w:eastAsia="zh-CN"/>
              </w:rPr>
              <w:t>单价（元）</w:t>
            </w:r>
          </w:p>
        </w:tc>
        <w:tc>
          <w:tcPr>
            <w:tcW w:w="535" w:type="pct"/>
            <w:vAlign w:val="center"/>
          </w:tcPr>
          <w:p>
            <w:pPr>
              <w:spacing w:line="240" w:lineRule="auto"/>
              <w:jc w:val="center"/>
              <w:rPr>
                <w:rFonts w:hint="default" w:eastAsiaTheme="minorEastAsia"/>
                <w:szCs w:val="21"/>
                <w:lang w:val="en-US" w:eastAsia="zh-CN"/>
              </w:rPr>
            </w:pPr>
            <w:r>
              <w:rPr>
                <w:rFonts w:hint="eastAsia"/>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269" w:type="pct"/>
            <w:vAlign w:val="center"/>
          </w:tcPr>
          <w:p>
            <w:pPr>
              <w:widowControl/>
              <w:spacing w:line="240" w:lineRule="auto"/>
              <w:jc w:val="left"/>
              <w:rPr>
                <w:rFonts w:hint="eastAsia" w:eastAsiaTheme="minorEastAsia"/>
                <w:vertAlign w:val="baseline"/>
                <w:lang w:val="en-US" w:eastAsia="zh-CN"/>
              </w:rPr>
            </w:pPr>
            <w:r>
              <w:rPr>
                <w:rFonts w:hint="eastAsia"/>
                <w:vertAlign w:val="baseline"/>
                <w:lang w:val="en-US" w:eastAsia="zh-CN"/>
              </w:rPr>
              <w:t>1</w:t>
            </w:r>
          </w:p>
        </w:tc>
        <w:tc>
          <w:tcPr>
            <w:tcW w:w="275" w:type="pct"/>
            <w:vAlign w:val="center"/>
          </w:tcPr>
          <w:p>
            <w:pPr>
              <w:widowControl/>
              <w:spacing w:line="240" w:lineRule="auto"/>
              <w:jc w:val="left"/>
              <w:rPr>
                <w:vertAlign w:val="baseline"/>
              </w:rPr>
            </w:pPr>
            <w:r>
              <w:rPr>
                <w:rFonts w:hint="eastAsia" w:cs="仿宋" w:asciiTheme="minorEastAsia" w:hAnsiTheme="minorEastAsia"/>
                <w:sz w:val="22"/>
                <w:szCs w:val="24"/>
                <w:lang w:val="en-US" w:eastAsia="zh-CN"/>
              </w:rPr>
              <w:t>工业机器人及视觉技术设备升级包</w:t>
            </w:r>
          </w:p>
        </w:tc>
        <w:tc>
          <w:tcPr>
            <w:tcW w:w="368" w:type="pct"/>
            <w:vAlign w:val="center"/>
          </w:tcPr>
          <w:p>
            <w:pPr>
              <w:widowControl/>
              <w:spacing w:line="240" w:lineRule="auto"/>
              <w:jc w:val="center"/>
              <w:rPr>
                <w:rFonts w:hint="default" w:cs="仿宋" w:asciiTheme="minorEastAsia" w:hAnsiTheme="minorEastAsia"/>
                <w:sz w:val="22"/>
                <w:szCs w:val="24"/>
                <w:lang w:val="en-US" w:eastAsia="zh-CN"/>
              </w:rPr>
            </w:pPr>
            <w:r>
              <w:rPr>
                <w:rFonts w:hint="eastAsia" w:cs="仿宋" w:asciiTheme="minorEastAsia" w:hAnsiTheme="minorEastAsia"/>
                <w:sz w:val="22"/>
                <w:szCs w:val="24"/>
                <w:lang w:val="en-US" w:eastAsia="zh-CN"/>
              </w:rPr>
              <w:t>定制</w:t>
            </w:r>
          </w:p>
        </w:tc>
        <w:tc>
          <w:tcPr>
            <w:tcW w:w="2553" w:type="pct"/>
            <w:vAlign w:val="center"/>
          </w:tcPr>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工具单元附件1套</w:t>
            </w:r>
          </w:p>
          <w:p>
            <w:pPr>
              <w:pStyle w:val="15"/>
              <w:snapToGrid w:val="0"/>
              <w:spacing w:line="240" w:lineRule="auto"/>
              <w:jc w:val="both"/>
              <w:rPr>
                <w:rFonts w:hint="eastAsia" w:ascii="宋体" w:hAnsi="宋体" w:eastAsia="宋体" w:cs="宋体"/>
                <w:sz w:val="21"/>
                <w:szCs w:val="21"/>
              </w:rPr>
            </w:pPr>
            <w:r>
              <w:rPr>
                <w:rFonts w:hint="eastAsia" w:ascii="宋体" w:hAnsi="宋体" w:eastAsia="宋体" w:cs="宋体"/>
                <w:sz w:val="21"/>
                <w:szCs w:val="21"/>
              </w:rPr>
              <w:t>吸盘工具×1</w:t>
            </w:r>
          </w:p>
          <w:p>
            <w:pPr>
              <w:pStyle w:val="15"/>
              <w:snapToGrid w:val="0"/>
              <w:spacing w:line="240" w:lineRule="auto"/>
              <w:jc w:val="both"/>
              <w:rPr>
                <w:rFonts w:hint="eastAsia" w:ascii="宋体" w:hAnsi="宋体" w:eastAsia="宋体" w:cs="宋体"/>
                <w:sz w:val="21"/>
                <w:szCs w:val="21"/>
              </w:rPr>
            </w:pPr>
            <w:r>
              <w:rPr>
                <w:rFonts w:hint="eastAsia" w:ascii="宋体" w:hAnsi="宋体" w:eastAsia="宋体" w:cs="宋体"/>
                <w:sz w:val="21"/>
                <w:szCs w:val="21"/>
              </w:rPr>
              <w:t>1)吸盘直径φ25mm，可针对车标稳定拾取；</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2)配有工具快换模块工具端，与工具快换法兰端配套。</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仓储单元附件1套</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轮毂零件×6</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1)铝合金材质，五幅轮毂缩比零件；</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2)轮辋直径102mm，最大外圈直径114mm，轮辋内圈直径88mm，轮毂直径28mm，整体厚度45mm，轮辐厚度16mm；</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3)正面设计有可更换的数控加工耗材安装板，直径37mm，厚度8mm，塑料材质；</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4)零件正面、反面均设计有定位槽、视觉检测区域、打磨加工区域和二维码标签位置。</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5）轮毂正反两面均安装RFID芯片。</w:t>
            </w:r>
          </w:p>
          <w:p>
            <w:pPr>
              <w:pStyle w:val="15"/>
              <w:snapToGrid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3、检测单元附件1套</w:t>
            </w:r>
          </w:p>
          <w:p>
            <w:pPr>
              <w:pStyle w:val="15"/>
              <w:snapToGrid w:val="0"/>
              <w:spacing w:line="240" w:lineRule="auto"/>
              <w:jc w:val="both"/>
              <w:rPr>
                <w:rFonts w:hint="eastAsia" w:ascii="宋体" w:hAnsi="宋体" w:eastAsia="宋体" w:cs="宋体"/>
                <w:sz w:val="21"/>
                <w:szCs w:val="21"/>
              </w:rPr>
            </w:pPr>
            <w:r>
              <w:rPr>
                <w:rFonts w:hint="eastAsia" w:ascii="宋体" w:hAnsi="宋体" w:eastAsia="宋体" w:cs="宋体"/>
                <w:sz w:val="21"/>
                <w:szCs w:val="21"/>
              </w:rPr>
              <w:t>RFID检测模块×1</w:t>
            </w:r>
          </w:p>
          <w:p>
            <w:pPr>
              <w:pStyle w:val="15"/>
              <w:snapToGrid w:val="0"/>
              <w:spacing w:line="240" w:lineRule="auto"/>
              <w:jc w:val="both"/>
              <w:rPr>
                <w:rFonts w:hint="eastAsia" w:ascii="宋体" w:hAnsi="宋体" w:eastAsia="宋体" w:cs="宋体"/>
                <w:sz w:val="21"/>
                <w:szCs w:val="21"/>
              </w:rPr>
            </w:pPr>
            <w:r>
              <w:rPr>
                <w:rFonts w:hint="eastAsia" w:ascii="宋体" w:hAnsi="宋体" w:eastAsia="宋体" w:cs="宋体"/>
                <w:sz w:val="21"/>
                <w:szCs w:val="21"/>
              </w:rPr>
              <w:t>1) 感应头通过无线电讯号与标签之间进行非接触式的数据通信，读取或写入标签数据；</w:t>
            </w:r>
          </w:p>
          <w:p>
            <w:pPr>
              <w:pStyle w:val="15"/>
              <w:snapToGrid w:val="0"/>
              <w:spacing w:line="240" w:lineRule="auto"/>
              <w:jc w:val="both"/>
              <w:rPr>
                <w:rFonts w:hint="eastAsia" w:ascii="宋体" w:hAnsi="宋体" w:eastAsia="宋体" w:cs="宋体"/>
                <w:sz w:val="21"/>
                <w:szCs w:val="21"/>
              </w:rPr>
            </w:pPr>
            <w:r>
              <w:rPr>
                <w:rFonts w:hint="eastAsia" w:ascii="宋体" w:hAnsi="宋体" w:eastAsia="宋体" w:cs="宋体"/>
                <w:sz w:val="21"/>
                <w:szCs w:val="21"/>
              </w:rPr>
              <w:t>2)读写头与上位机采用Modbus-TCP通讯；</w:t>
            </w:r>
          </w:p>
          <w:p>
            <w:pPr>
              <w:pStyle w:val="15"/>
              <w:snapToGrid w:val="0"/>
              <w:spacing w:line="240" w:lineRule="auto"/>
              <w:jc w:val="both"/>
              <w:rPr>
                <w:rFonts w:hint="eastAsia" w:ascii="宋体" w:hAnsi="宋体" w:eastAsia="宋体" w:cs="宋体"/>
                <w:sz w:val="21"/>
                <w:szCs w:val="21"/>
              </w:rPr>
            </w:pPr>
            <w:r>
              <w:rPr>
                <w:rFonts w:hint="eastAsia" w:ascii="宋体" w:hAnsi="宋体" w:eastAsia="宋体" w:cs="宋体"/>
                <w:sz w:val="21"/>
                <w:szCs w:val="21"/>
              </w:rPr>
              <w:t>3)标签最多可存储112字节数据；</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4)感应头固定在可以调节位置的支架上。</w:t>
            </w:r>
          </w:p>
          <w:p>
            <w:pPr>
              <w:pStyle w:val="15"/>
              <w:snapToGrid w:val="0"/>
              <w:spacing w:line="240" w:lineRule="auto"/>
              <w:jc w:val="both"/>
              <w:rPr>
                <w:rFonts w:hint="eastAsia" w:ascii="宋体" w:hAnsi="宋体" w:eastAsia="宋体" w:cs="宋体"/>
                <w:sz w:val="21"/>
                <w:szCs w:val="21"/>
              </w:rPr>
            </w:pPr>
            <w:r>
              <w:rPr>
                <w:rFonts w:hint="eastAsia" w:ascii="宋体" w:hAnsi="宋体" w:eastAsia="宋体" w:cs="宋体"/>
                <w:sz w:val="21"/>
                <w:szCs w:val="21"/>
              </w:rPr>
              <w:t>车标库×1</w:t>
            </w:r>
          </w:p>
          <w:p>
            <w:pPr>
              <w:pStyle w:val="15"/>
              <w:widowControl/>
              <w:numPr>
                <w:ilvl w:val="0"/>
                <w:numId w:val="1"/>
              </w:numPr>
              <w:snapToGrid w:val="0"/>
              <w:spacing w:line="240" w:lineRule="auto"/>
              <w:jc w:val="both"/>
              <w:rPr>
                <w:rFonts w:hint="eastAsia" w:ascii="宋体" w:hAnsi="宋体" w:eastAsia="宋体" w:cs="宋体"/>
                <w:sz w:val="21"/>
                <w:szCs w:val="21"/>
              </w:rPr>
            </w:pPr>
            <w:r>
              <w:rPr>
                <w:rFonts w:hint="eastAsia" w:ascii="宋体" w:hAnsi="宋体" w:eastAsia="宋体" w:cs="宋体"/>
                <w:sz w:val="21"/>
                <w:szCs w:val="21"/>
              </w:rPr>
              <w:t>车标库支架材料为铝合金，具有6个车标位置；</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2）配置12个车标。</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总控单元附件1套</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交换机×1：</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1)IEC/NE 61000-4工业级保护；</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2)5个百兆RJ45端口；</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3)铝金属外壳，坚固耐用；</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4）标准DIN导轨安装。</w:t>
            </w:r>
          </w:p>
          <w:p>
            <w:pPr>
              <w:pStyle w:val="15"/>
              <w:spacing w:line="240" w:lineRule="auto"/>
              <w:jc w:val="both"/>
              <w:rPr>
                <w:rFonts w:hint="eastAsia" w:ascii="宋体" w:hAnsi="宋体" w:eastAsia="宋体" w:cs="宋体"/>
                <w:sz w:val="21"/>
                <w:szCs w:val="21"/>
              </w:rPr>
            </w:pPr>
            <w:r>
              <w:rPr>
                <w:rFonts w:hint="eastAsia" w:ascii="宋体" w:hAnsi="宋体" w:eastAsia="宋体" w:cs="宋体"/>
                <w:b/>
                <w:bCs/>
                <w:sz w:val="21"/>
                <w:szCs w:val="21"/>
                <w:shd w:val="clear" w:color="auto" w:fill="FFFFFF"/>
              </w:rPr>
              <w:t>无线路由器</w:t>
            </w:r>
            <w:r>
              <w:rPr>
                <w:rFonts w:hint="eastAsia" w:ascii="宋体" w:hAnsi="宋体" w:eastAsia="宋体" w:cs="宋体"/>
                <w:sz w:val="21"/>
                <w:szCs w:val="21"/>
              </w:rPr>
              <w:t>×1：</w:t>
            </w:r>
          </w:p>
          <w:p>
            <w:pPr>
              <w:pStyle w:val="15"/>
              <w:numPr>
                <w:ilvl w:val="0"/>
                <w:numId w:val="2"/>
              </w:numPr>
              <w:spacing w:line="240" w:lineRule="auto"/>
              <w:jc w:val="both"/>
              <w:rPr>
                <w:rFonts w:hint="eastAsia" w:ascii="宋体" w:hAnsi="宋体" w:eastAsia="宋体" w:cs="宋体"/>
                <w:sz w:val="21"/>
                <w:szCs w:val="21"/>
              </w:rPr>
            </w:pPr>
            <w:r>
              <w:rPr>
                <w:rFonts w:hint="eastAsia" w:ascii="宋体" w:hAnsi="宋体" w:eastAsia="宋体" w:cs="宋体"/>
                <w:sz w:val="21"/>
                <w:szCs w:val="21"/>
              </w:rPr>
              <w:t>300Mbps 11NS无线，信号强；</w:t>
            </w:r>
          </w:p>
          <w:p>
            <w:pPr>
              <w:pStyle w:val="15"/>
              <w:numPr>
                <w:ilvl w:val="0"/>
                <w:numId w:val="2"/>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支持多个SSID；</w:t>
            </w:r>
          </w:p>
          <w:p>
            <w:pPr>
              <w:pStyle w:val="15"/>
              <w:numPr>
                <w:ilvl w:val="0"/>
                <w:numId w:val="2"/>
              </w:numPr>
              <w:spacing w:line="240" w:lineRule="auto"/>
              <w:jc w:val="both"/>
              <w:rPr>
                <w:rFonts w:hint="eastAsia" w:ascii="宋体" w:hAnsi="宋体" w:eastAsia="宋体" w:cs="宋体"/>
                <w:sz w:val="21"/>
                <w:szCs w:val="21"/>
              </w:rPr>
            </w:pPr>
            <w:r>
              <w:rPr>
                <w:rFonts w:hint="eastAsia" w:ascii="宋体" w:hAnsi="宋体" w:eastAsia="宋体" w:cs="宋体"/>
                <w:sz w:val="21"/>
                <w:szCs w:val="21"/>
              </w:rPr>
              <w:t>配置一个固定WAN口，7个固定LAN口和1个WAN/LAN可变口；</w:t>
            </w:r>
          </w:p>
          <w:p>
            <w:pPr>
              <w:pStyle w:val="15"/>
              <w:numPr>
                <w:ilvl w:val="0"/>
                <w:numId w:val="2"/>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支持防火墙。</w:t>
            </w:r>
          </w:p>
          <w:p>
            <w:pPr>
              <w:pStyle w:val="15"/>
              <w:spacing w:line="240" w:lineRule="auto"/>
              <w:jc w:val="both"/>
              <w:rPr>
                <w:rFonts w:hint="eastAsia" w:ascii="宋体" w:hAnsi="宋体" w:eastAsia="宋体" w:cs="宋体"/>
                <w:sz w:val="21"/>
                <w:szCs w:val="21"/>
              </w:rPr>
            </w:pPr>
            <w:r>
              <w:rPr>
                <w:rFonts w:hint="eastAsia" w:ascii="宋体" w:hAnsi="宋体" w:eastAsia="宋体" w:cs="宋体"/>
                <w:sz w:val="21"/>
                <w:szCs w:val="21"/>
              </w:rPr>
              <w:t>监控×1</w:t>
            </w:r>
          </w:p>
          <w:p>
            <w:pPr>
              <w:pStyle w:val="15"/>
              <w:numPr>
                <w:ilvl w:val="0"/>
                <w:numId w:val="3"/>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摄像头像素：不低于200万。</w:t>
            </w:r>
          </w:p>
          <w:p>
            <w:pPr>
              <w:pStyle w:val="15"/>
              <w:numPr>
                <w:ilvl w:val="0"/>
                <w:numId w:val="3"/>
              </w:numPr>
              <w:spacing w:line="240" w:lineRule="auto"/>
              <w:jc w:val="both"/>
              <w:rPr>
                <w:rFonts w:hint="eastAsia" w:ascii="宋体" w:hAnsi="宋体" w:eastAsia="宋体" w:cs="宋体"/>
                <w:sz w:val="21"/>
                <w:szCs w:val="21"/>
              </w:rPr>
            </w:pPr>
            <w:r>
              <w:rPr>
                <w:rFonts w:hint="eastAsia" w:ascii="宋体" w:hAnsi="宋体" w:eastAsia="宋体" w:cs="宋体"/>
                <w:sz w:val="21"/>
                <w:szCs w:val="21"/>
              </w:rPr>
              <w:t>监控支架可伸缩。</w:t>
            </w:r>
          </w:p>
          <w:p>
            <w:pPr>
              <w:pStyle w:val="15"/>
              <w:numPr>
                <w:ilvl w:val="0"/>
                <w:numId w:val="3"/>
              </w:numPr>
              <w:spacing w:line="240" w:lineRule="auto"/>
              <w:jc w:val="both"/>
              <w:rPr>
                <w:rFonts w:hint="eastAsia" w:ascii="宋体" w:hAnsi="宋体" w:eastAsia="宋体" w:cs="宋体"/>
                <w:sz w:val="21"/>
                <w:szCs w:val="21"/>
              </w:rPr>
            </w:pPr>
            <w:r>
              <w:rPr>
                <w:rFonts w:hint="eastAsia" w:ascii="宋体" w:hAnsi="宋体" w:eastAsia="宋体" w:cs="宋体"/>
                <w:sz w:val="21"/>
                <w:szCs w:val="21"/>
              </w:rPr>
              <w:t>360度全景。</w:t>
            </w:r>
          </w:p>
          <w:p>
            <w:pPr>
              <w:pStyle w:val="15"/>
              <w:numPr>
                <w:ilvl w:val="0"/>
                <w:numId w:val="3"/>
              </w:numPr>
              <w:spacing w:line="240" w:lineRule="auto"/>
              <w:jc w:val="both"/>
              <w:rPr>
                <w:rFonts w:hint="eastAsia" w:ascii="宋体" w:hAnsi="宋体" w:eastAsia="宋体" w:cs="宋体"/>
                <w:sz w:val="21"/>
                <w:szCs w:val="21"/>
              </w:rPr>
            </w:pPr>
            <w:r>
              <w:rPr>
                <w:rFonts w:hint="eastAsia" w:ascii="宋体" w:hAnsi="宋体" w:eastAsia="宋体" w:cs="宋体"/>
                <w:sz w:val="21"/>
                <w:szCs w:val="21"/>
              </w:rPr>
              <w:t>焦距4mm。</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工业网关×1：</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1）系统应支持设备驱动安装，能快速新建设备、支持设备的导入和导出，支持设备的分组管理功能。</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2）系统应支持对PLC、DCS、智能模块、智能仪表等设备的数据采集，支持COM、TCP等多种链路，支持多路并发采集及转发，支持OPC、Modbus等标准协议。</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3）系统应支持与主流数据库数据存储功能，支持断线缓存和续传能力，确保数据完整。设备须内置表贴的断缓专用电子盘，容量不小于4GB,可以扩展到8G，支持当地数据存储一年。当设备与平台的网络连接断开时，将采集到的数据缓存在电子盘，网络连接恢复后，将断线期间的数据补录到平台数据库。</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4) 支持IEC60870、IEC61850、DNP3、BACnet、Modbus、SNMP、CDT、DLT645、CJ-T188、OPC、MQTT主流关系数据库等标准接口协议或规范，以及市场上主流的PLC、电力综保的数据采集，并支持多协议、多通道并发工作。</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5) 支持数据采集通道的端口冗余功能，在端口故障时可自动切换。</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6) 支持边缘智能计算功能，配置软件提供逻辑报警、触发器的二次开发配置，支持内置C语法的脚本系统，可让编制脚本对数据进行二次计算。</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7) 支持LUA语言开发。</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8) 支持数据传输的加密和压缩功能。</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9) 设备具备采集数据的实时二次计算功能，用户可自行配置系数、量程转换、取反等功能。</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10) 支持电能量等累计量的实时用量计算功能，用户可自行设定计算周期，将采集到的读表数据转换为周期用量数据。</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11) 支持远程调试诊断功能，在工程师不到现场的条件下，维护工程师可远程配置、调试、维护PLC。</w:t>
            </w:r>
          </w:p>
          <w:p>
            <w:pPr>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12) 提供统一监视维护的“网络管理软件”，可以使用该软件统一监视各设备的运行状态，查看设备日志、实时数据、端口报文、异常捕捉等。</w:t>
            </w:r>
          </w:p>
          <w:p>
            <w:pPr>
              <w:widowControl/>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13) 提供统一开发配置的“开发配置软件”，用户可不依赖厂家自行完成现场设备的接入配置及调试工作。</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14) 设备整机功耗小于10W的无风扇防尘设计，具备CE\FCC等认证资质。</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耗材及配件包1套</w:t>
            </w:r>
          </w:p>
          <w:p>
            <w:pPr>
              <w:pStyle w:val="17"/>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搭配不少于以下耗材和配件：</w:t>
            </w:r>
          </w:p>
          <w:p>
            <w:pPr>
              <w:pStyle w:val="17"/>
              <w:numPr>
                <w:ilvl w:val="0"/>
                <w:numId w:val="4"/>
              </w:numPr>
              <w:spacing w:line="240" w:lineRule="auto"/>
              <w:ind w:left="33" w:firstLine="0" w:firstLineChars="0"/>
              <w:jc w:val="both"/>
              <w:rPr>
                <w:rFonts w:hint="eastAsia" w:ascii="宋体" w:hAnsi="宋体" w:eastAsia="宋体" w:cs="宋体"/>
                <w:sz w:val="21"/>
                <w:szCs w:val="21"/>
              </w:rPr>
            </w:pPr>
            <w:r>
              <w:rPr>
                <w:rFonts w:hint="eastAsia" w:ascii="宋体" w:hAnsi="宋体" w:eastAsia="宋体" w:cs="宋体"/>
                <w:sz w:val="21"/>
                <w:szCs w:val="21"/>
              </w:rPr>
              <w:t>轮辐夹爪×1</w:t>
            </w:r>
          </w:p>
          <w:p>
            <w:pPr>
              <w:pStyle w:val="17"/>
              <w:numPr>
                <w:ilvl w:val="0"/>
                <w:numId w:val="4"/>
              </w:numPr>
              <w:spacing w:line="240" w:lineRule="auto"/>
              <w:ind w:left="33" w:firstLine="0" w:firstLineChars="0"/>
              <w:jc w:val="both"/>
              <w:rPr>
                <w:rFonts w:hint="eastAsia" w:ascii="宋体" w:hAnsi="宋体" w:eastAsia="宋体" w:cs="宋体"/>
                <w:sz w:val="21"/>
                <w:szCs w:val="21"/>
              </w:rPr>
            </w:pPr>
            <w:r>
              <w:rPr>
                <w:rFonts w:hint="eastAsia" w:ascii="宋体" w:hAnsi="宋体" w:eastAsia="宋体" w:cs="宋体"/>
                <w:sz w:val="21"/>
                <w:szCs w:val="21"/>
              </w:rPr>
              <w:t>轮毂夹爪×1</w:t>
            </w:r>
          </w:p>
          <w:p>
            <w:pPr>
              <w:pStyle w:val="17"/>
              <w:numPr>
                <w:ilvl w:val="0"/>
                <w:numId w:val="4"/>
              </w:numPr>
              <w:spacing w:line="240" w:lineRule="auto"/>
              <w:ind w:left="33" w:firstLine="0" w:firstLineChars="0"/>
              <w:jc w:val="both"/>
              <w:rPr>
                <w:rFonts w:hint="eastAsia" w:ascii="宋体" w:hAnsi="宋体" w:eastAsia="宋体" w:cs="宋体"/>
                <w:sz w:val="21"/>
                <w:szCs w:val="21"/>
              </w:rPr>
            </w:pPr>
            <w:r>
              <w:rPr>
                <w:rFonts w:hint="eastAsia" w:ascii="宋体" w:hAnsi="宋体" w:eastAsia="宋体" w:cs="宋体"/>
                <w:sz w:val="21"/>
                <w:szCs w:val="21"/>
              </w:rPr>
              <w:t>轮辋内圈夹爪×1</w:t>
            </w:r>
          </w:p>
          <w:p>
            <w:pPr>
              <w:pStyle w:val="17"/>
              <w:numPr>
                <w:ilvl w:val="0"/>
                <w:numId w:val="4"/>
              </w:numPr>
              <w:spacing w:line="240" w:lineRule="auto"/>
              <w:ind w:left="33" w:firstLine="0" w:firstLineChars="0"/>
              <w:jc w:val="both"/>
              <w:rPr>
                <w:rFonts w:hint="eastAsia" w:ascii="宋体" w:hAnsi="宋体" w:eastAsia="宋体" w:cs="宋体"/>
                <w:sz w:val="21"/>
                <w:szCs w:val="21"/>
              </w:rPr>
            </w:pPr>
            <w:r>
              <w:rPr>
                <w:rFonts w:hint="eastAsia" w:ascii="宋体" w:hAnsi="宋体" w:eastAsia="宋体" w:cs="宋体"/>
                <w:sz w:val="21"/>
                <w:szCs w:val="21"/>
              </w:rPr>
              <w:t>轮辋外圈夹爪×1</w:t>
            </w:r>
          </w:p>
          <w:p>
            <w:pPr>
              <w:pStyle w:val="17"/>
              <w:numPr>
                <w:ilvl w:val="0"/>
                <w:numId w:val="4"/>
              </w:numPr>
              <w:snapToGrid w:val="0"/>
              <w:spacing w:line="240" w:lineRule="auto"/>
              <w:ind w:left="33" w:firstLine="0" w:firstLineChars="0"/>
              <w:jc w:val="both"/>
              <w:rPr>
                <w:rFonts w:hint="eastAsia" w:ascii="宋体" w:hAnsi="宋体" w:eastAsia="宋体" w:cs="宋体"/>
                <w:sz w:val="21"/>
                <w:szCs w:val="21"/>
              </w:rPr>
            </w:pPr>
            <w:r>
              <w:rPr>
                <w:rFonts w:hint="eastAsia" w:ascii="宋体" w:hAnsi="宋体" w:eastAsia="宋体" w:cs="宋体"/>
                <w:sz w:val="21"/>
                <w:szCs w:val="21"/>
              </w:rPr>
              <w:t>吸盘工具×1</w:t>
            </w:r>
          </w:p>
          <w:p>
            <w:pPr>
              <w:pStyle w:val="17"/>
              <w:numPr>
                <w:ilvl w:val="0"/>
                <w:numId w:val="4"/>
              </w:numPr>
              <w:spacing w:line="240" w:lineRule="auto"/>
              <w:ind w:left="33" w:firstLine="0" w:firstLineChars="0"/>
              <w:jc w:val="both"/>
              <w:rPr>
                <w:rFonts w:hint="eastAsia" w:ascii="宋体" w:hAnsi="宋体" w:eastAsia="宋体" w:cs="宋体"/>
                <w:sz w:val="21"/>
                <w:szCs w:val="21"/>
              </w:rPr>
            </w:pPr>
            <w:r>
              <w:rPr>
                <w:rFonts w:hint="eastAsia" w:ascii="宋体" w:hAnsi="宋体" w:eastAsia="宋体" w:cs="宋体"/>
                <w:sz w:val="21"/>
                <w:szCs w:val="21"/>
              </w:rPr>
              <w:t>吸盘夹爪×1</w:t>
            </w:r>
          </w:p>
          <w:p>
            <w:pPr>
              <w:pStyle w:val="17"/>
              <w:numPr>
                <w:ilvl w:val="0"/>
                <w:numId w:val="4"/>
              </w:numPr>
              <w:spacing w:line="240" w:lineRule="auto"/>
              <w:ind w:left="33" w:firstLine="0" w:firstLineChars="0"/>
              <w:jc w:val="both"/>
              <w:rPr>
                <w:rFonts w:hint="eastAsia" w:ascii="宋体" w:hAnsi="宋体" w:eastAsia="宋体" w:cs="宋体"/>
                <w:sz w:val="21"/>
                <w:szCs w:val="21"/>
              </w:rPr>
            </w:pPr>
            <w:r>
              <w:rPr>
                <w:rFonts w:hint="eastAsia" w:ascii="宋体" w:hAnsi="宋体" w:eastAsia="宋体" w:cs="宋体"/>
                <w:sz w:val="21"/>
                <w:szCs w:val="21"/>
              </w:rPr>
              <w:t>端面打磨工具×1</w:t>
            </w:r>
          </w:p>
          <w:p>
            <w:pPr>
              <w:pStyle w:val="17"/>
              <w:numPr>
                <w:ilvl w:val="0"/>
                <w:numId w:val="4"/>
              </w:numPr>
              <w:spacing w:line="240" w:lineRule="auto"/>
              <w:ind w:left="33" w:firstLine="0" w:firstLineChars="0"/>
              <w:jc w:val="both"/>
              <w:rPr>
                <w:rFonts w:hint="eastAsia" w:ascii="宋体" w:hAnsi="宋体" w:eastAsia="宋体" w:cs="宋体"/>
                <w:sz w:val="21"/>
                <w:szCs w:val="21"/>
              </w:rPr>
            </w:pPr>
            <w:r>
              <w:rPr>
                <w:rFonts w:hint="eastAsia" w:ascii="宋体" w:hAnsi="宋体" w:eastAsia="宋体" w:cs="宋体"/>
                <w:sz w:val="21"/>
                <w:szCs w:val="21"/>
              </w:rPr>
              <w:t>侧面打磨工具×1</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RFID芯片×50</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轮毂×6</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光电传感器×1</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车标×100</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门型光电传感器×1</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视觉标定板×1</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24V电源×1</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网线（贝吉色）×10</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电磁阀×2</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节流阀×10</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磁性开关×4</w:t>
            </w:r>
          </w:p>
          <w:p>
            <w:pPr>
              <w:pStyle w:val="17"/>
              <w:numPr>
                <w:ilvl w:val="0"/>
                <w:numId w:val="4"/>
              </w:numPr>
              <w:spacing w:line="240" w:lineRule="auto"/>
              <w:ind w:firstLineChars="0"/>
              <w:jc w:val="both"/>
              <w:rPr>
                <w:rFonts w:hint="eastAsia" w:ascii="宋体" w:hAnsi="宋体" w:eastAsia="宋体" w:cs="宋体"/>
                <w:sz w:val="21"/>
                <w:szCs w:val="21"/>
              </w:rPr>
            </w:pPr>
            <w:r>
              <w:rPr>
                <w:rFonts w:hint="eastAsia" w:ascii="宋体" w:hAnsi="宋体" w:eastAsia="宋体" w:cs="宋体"/>
                <w:sz w:val="21"/>
                <w:szCs w:val="21"/>
              </w:rPr>
              <w:t>气管直径4×50m</w:t>
            </w:r>
          </w:p>
          <w:p>
            <w:pPr>
              <w:pStyle w:val="17"/>
              <w:numPr>
                <w:ilvl w:val="0"/>
                <w:numId w:val="4"/>
              </w:numPr>
              <w:spacing w:line="240" w:lineRule="auto"/>
              <w:ind w:left="0" w:firstLine="0" w:firstLineChars="0"/>
              <w:jc w:val="both"/>
              <w:rPr>
                <w:rFonts w:hint="eastAsia" w:ascii="宋体" w:hAnsi="宋体" w:eastAsia="宋体" w:cs="宋体"/>
                <w:sz w:val="21"/>
                <w:szCs w:val="21"/>
              </w:rPr>
            </w:pPr>
            <w:r>
              <w:rPr>
                <w:rFonts w:hint="eastAsia" w:ascii="宋体" w:hAnsi="宋体" w:eastAsia="宋体" w:cs="宋体"/>
                <w:sz w:val="21"/>
                <w:szCs w:val="21"/>
              </w:rPr>
              <w:t>气管直径6×50m等。</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配套软件1套</w:t>
            </w:r>
          </w:p>
          <w:p>
            <w:pPr>
              <w:pStyle w:val="15"/>
              <w:spacing w:line="240" w:lineRule="auto"/>
              <w:jc w:val="both"/>
              <w:rPr>
                <w:rFonts w:hint="eastAsia" w:ascii="宋体" w:hAnsi="宋体" w:eastAsia="宋体" w:cs="宋体"/>
                <w:b/>
                <w:bCs/>
                <w:sz w:val="21"/>
                <w:szCs w:val="21"/>
              </w:rPr>
            </w:pPr>
            <w:r>
              <w:rPr>
                <w:rFonts w:hint="eastAsia" w:ascii="宋体" w:hAnsi="宋体" w:eastAsia="宋体" w:cs="宋体"/>
                <w:b/>
                <w:bCs/>
                <w:kern w:val="0"/>
                <w:sz w:val="21"/>
                <w:szCs w:val="21"/>
              </w:rPr>
              <w:t>管控一体化MES系统</w:t>
            </w:r>
            <w:r>
              <w:rPr>
                <w:rFonts w:hint="eastAsia" w:ascii="宋体" w:hAnsi="宋体" w:eastAsia="宋体" w:cs="宋体"/>
                <w:b/>
                <w:bCs/>
                <w:sz w:val="21"/>
                <w:szCs w:val="21"/>
              </w:rPr>
              <w:t>×1：</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（1）系统需具备自主知识产权，正版软件，全中文操作界面，可提供持续的中文技术支持服务。</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（2）系统应为B/S架构，支持大规模并发用户在线使用，同时提供快速、优化的查询处理算法，保证系统的及时响应。</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（3）系统应提供完整的软件安装手册、系统操作手册，提供全面的用户指导与培训。</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（4）系统功能应包括但不限于以下功能模块：</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一、系统管理中心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1)系统支持多学校、多班级、多小组独立实训，做到租户间数据隔离，学生端独立运行数据互不干扰，实现实训独立性和考核公平性。</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系统支持按租户独立管理用户，分配用户所属角色，模拟企业生产实际角色分配，不同角色间业务功能独立，支持用户多角色分配。系统自动记录用户登录和使用日志信息。</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3)系统支持按租户进行系统业务数据存档备份管理和恢复数据备份，以支持阶段性教学实训。系统预置不少于2套行业案例数据用于系统认知和教学实训开展。</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二、生产数据中心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lang w:val="zh-CN"/>
              </w:rPr>
              <w:t>系统支持将设计数据进行</w:t>
            </w:r>
            <w:r>
              <w:rPr>
                <w:rFonts w:hint="eastAsia" w:ascii="宋体" w:hAnsi="宋体" w:eastAsia="宋体" w:cs="宋体"/>
                <w:sz w:val="21"/>
                <w:szCs w:val="21"/>
              </w:rPr>
              <w:t>初始化到系统中进行管理，包含物料数据、库房库位、生产设备、人员班组、设备编组、加工单元等。物料数据支持导入功能。</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三、产品数据中心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lang w:val="zh-CN"/>
              </w:rPr>
              <w:t>系统支持</w:t>
            </w:r>
            <w:r>
              <w:rPr>
                <w:rFonts w:hint="eastAsia" w:ascii="宋体" w:hAnsi="宋体" w:eastAsia="宋体" w:cs="宋体"/>
                <w:sz w:val="21"/>
                <w:szCs w:val="21"/>
              </w:rPr>
              <w:t>管理</w:t>
            </w:r>
            <w:r>
              <w:rPr>
                <w:rFonts w:hint="eastAsia" w:ascii="宋体" w:hAnsi="宋体" w:eastAsia="宋体" w:cs="宋体"/>
                <w:sz w:val="21"/>
                <w:szCs w:val="21"/>
                <w:lang w:val="zh-CN"/>
              </w:rPr>
              <w:t>产品BOM、</w:t>
            </w:r>
            <w:r>
              <w:rPr>
                <w:rFonts w:hint="eastAsia" w:ascii="宋体" w:hAnsi="宋体" w:eastAsia="宋体" w:cs="宋体"/>
                <w:sz w:val="21"/>
                <w:szCs w:val="21"/>
              </w:rPr>
              <w:t>产品工艺、作业工序等产品数据，支持自定义编制产品BOM树和产品工艺树结构数据，支持按版本和有效性管理产品数据。</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四、工艺派工中心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lang w:val="zh-CN"/>
              </w:rPr>
              <w:t>系统支持手工编制生产订单，</w:t>
            </w:r>
            <w:r>
              <w:rPr>
                <w:rFonts w:hint="eastAsia" w:ascii="宋体" w:hAnsi="宋体" w:eastAsia="宋体" w:cs="宋体"/>
                <w:sz w:val="21"/>
                <w:szCs w:val="21"/>
              </w:rPr>
              <w:t>支持</w:t>
            </w:r>
            <w:r>
              <w:rPr>
                <w:rFonts w:hint="eastAsia" w:ascii="宋体" w:hAnsi="宋体" w:eastAsia="宋体" w:cs="宋体"/>
                <w:sz w:val="21"/>
                <w:szCs w:val="21"/>
                <w:lang w:val="zh-CN"/>
              </w:rPr>
              <w:t>订单审批工作流，</w:t>
            </w:r>
            <w:r>
              <w:rPr>
                <w:rFonts w:hint="eastAsia" w:ascii="宋体" w:hAnsi="宋体" w:eastAsia="宋体" w:cs="宋体"/>
                <w:sz w:val="21"/>
                <w:szCs w:val="21"/>
              </w:rPr>
              <w:t>订单运算产生生产计划和物料需求计划，分别用于指导生产和物料备料。</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五、生产执行中心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系统支持将已派工的任务进行手动开完工操作执行。支持按设备查询生产任务执行情况，可详细跟踪监控任务执行进度。</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六、质量管理中心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 系统支持按照工艺设定，在工人现场作业任务完工后自动生成检验作业任务，对于检验不合格的情况，系统支持返修废补业务闭环处理；支持正向查询单件产品单条作业工序的装机物料清单和出库物料明细，支持按物料信息反向查询该批次物料所有装机记录。</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七、库房管理中心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系统支持库房出入库业务管理，支持手工出入库、计划入库、配套出库、生产入库等功能，支持查询库存台账和出入库详细流水记录。</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八、设备管理中心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系统支持管理生产现场各类设备相关信息，支持上传设备图片和设备维护保养手册文档；支持管理设备故障记录，支持管理设备保养记录。</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九、信息监控中心</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系统支持按人员、按产品、按作业任务、按时间范围等不同维度进行人员作业工时的查询统计功能。</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 系统支持数据大屏统计展示系统中业务数据，包括但不限于生产订单数据、订单产品数据、生产计划数据、人员作业任务数据、设备作业任务数据、库存台账数据等。</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十、开发运维工具</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文件管理工具：支持文件上传、下载、在线预览、文件移动、 分享等功能，文件格式不限于图片、office文档、PDF、音频、视频等内容，支持按分类管理上传文件资源。</w:t>
            </w:r>
          </w:p>
          <w:p>
            <w:pPr>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报表配置工具：支持用户自定义配置数据报表，通过报表设计器设置报表界面，绑定数据源、预览输出报表，并提供生产计划报表统计案例，报表查询统计数据结果支持导出功能。</w:t>
            </w:r>
          </w:p>
          <w:p>
            <w:pPr>
              <w:spacing w:line="240" w:lineRule="auto"/>
              <w:ind w:firstLine="0" w:firstLineChars="0"/>
              <w:jc w:val="both"/>
              <w:rPr>
                <w:vertAlign w:val="baseline"/>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流程配置工具：支持用户自定义配置工作流程模型，配置流程节点，支持流程模型导入、导出，流程模型关联业务表单、流程调试、流程部署等功能，提供生产订单审批流程完整案例。</w:t>
            </w:r>
          </w:p>
        </w:tc>
        <w:tc>
          <w:tcPr>
            <w:tcW w:w="461" w:type="pct"/>
            <w:vAlign w:val="center"/>
          </w:tcPr>
          <w:p>
            <w:pPr>
              <w:widowControl/>
              <w:spacing w:line="240" w:lineRule="auto"/>
              <w:jc w:val="left"/>
              <w:rPr>
                <w:rFonts w:hint="default" w:eastAsiaTheme="minorEastAsia"/>
                <w:vertAlign w:val="baseline"/>
                <w:lang w:val="en-US" w:eastAsia="zh-CN"/>
              </w:rPr>
            </w:pPr>
            <w:r>
              <w:rPr>
                <w:rFonts w:hint="eastAsia"/>
                <w:vertAlign w:val="baseline"/>
                <w:lang w:val="en-US" w:eastAsia="zh-CN"/>
              </w:rPr>
              <w:t>1套</w:t>
            </w:r>
          </w:p>
        </w:tc>
        <w:tc>
          <w:tcPr>
            <w:tcW w:w="535" w:type="pct"/>
            <w:vAlign w:val="center"/>
          </w:tcPr>
          <w:p>
            <w:pPr>
              <w:widowControl/>
              <w:spacing w:line="240" w:lineRule="auto"/>
              <w:jc w:val="center"/>
              <w:rPr>
                <w:rFonts w:hint="default"/>
                <w:vertAlign w:val="baseline"/>
                <w:lang w:val="en-US" w:eastAsia="zh-CN"/>
              </w:rPr>
            </w:pPr>
          </w:p>
        </w:tc>
        <w:tc>
          <w:tcPr>
            <w:tcW w:w="535" w:type="pct"/>
            <w:vAlign w:val="center"/>
          </w:tcPr>
          <w:p>
            <w:pPr>
              <w:widowControl/>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464" w:type="pct"/>
            <w:gridSpan w:val="6"/>
            <w:vAlign w:val="center"/>
          </w:tcPr>
          <w:p>
            <w:pPr>
              <w:widowControl/>
              <w:spacing w:line="240" w:lineRule="auto"/>
              <w:jc w:val="center"/>
              <w:rPr>
                <w:rFonts w:hint="default"/>
                <w:vertAlign w:val="baseline"/>
                <w:lang w:val="en-US" w:eastAsia="zh-CN"/>
              </w:rPr>
            </w:pPr>
            <w:r>
              <w:rPr>
                <w:rFonts w:hint="eastAsia"/>
                <w:vertAlign w:val="baseline"/>
                <w:lang w:val="en-US" w:eastAsia="zh-CN"/>
              </w:rPr>
              <w:t>合计（元）</w:t>
            </w:r>
          </w:p>
        </w:tc>
        <w:tc>
          <w:tcPr>
            <w:tcW w:w="535" w:type="pct"/>
            <w:vAlign w:val="center"/>
          </w:tcPr>
          <w:p>
            <w:pPr>
              <w:widowControl/>
              <w:spacing w:line="240" w:lineRule="auto"/>
              <w:jc w:val="left"/>
              <w:rPr>
                <w:rFonts w:hint="default"/>
                <w:vertAlign w:val="baseline"/>
                <w:lang w:val="en-US" w:eastAsia="zh-CN"/>
              </w:rPr>
            </w:pPr>
          </w:p>
        </w:tc>
      </w:tr>
    </w:tbl>
    <w:p>
      <w:pPr>
        <w:jc w:val="both"/>
        <w:rPr>
          <w:rFonts w:hint="eastAsia" w:ascii="宋体" w:hAnsi="宋体" w:cs="宋体"/>
          <w:sz w:val="32"/>
          <w:szCs w:val="32"/>
          <w:lang w:val="en-US" w:eastAsia="zh-CN"/>
        </w:rPr>
      </w:pPr>
    </w:p>
    <w:p>
      <w:pPr>
        <w:pStyle w:val="2"/>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报价公司（公司名称）：                          联系人：                联系电话：</w:t>
      </w:r>
    </w:p>
    <w:p>
      <w:pPr>
        <w:rPr>
          <w:rFonts w:hint="eastAsia"/>
        </w:rPr>
      </w:pPr>
    </w:p>
    <w:p>
      <w:pPr>
        <w:pStyle w:val="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6"/>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p>
    <w:p>
      <w:pPr>
        <w:pStyle w:val="7"/>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
        <w:rPr>
          <w:rFonts w:hint="eastAsia"/>
          <w:lang w:eastAsia="zh-CN"/>
        </w:rPr>
      </w:pP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rFonts w:hint="eastAsia" w:ascii="宋体" w:hAnsi="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041E8"/>
    <w:multiLevelType w:val="singleLevel"/>
    <w:tmpl w:val="CF3041E8"/>
    <w:lvl w:ilvl="0" w:tentative="0">
      <w:start w:val="1"/>
      <w:numFmt w:val="decimal"/>
      <w:lvlText w:val="%1)"/>
      <w:lvlJc w:val="left"/>
      <w:rPr>
        <w:rFonts w:hint="default"/>
        <w:color w:val="auto"/>
      </w:rPr>
    </w:lvl>
  </w:abstractNum>
  <w:abstractNum w:abstractNumId="1">
    <w:nsid w:val="1140282C"/>
    <w:multiLevelType w:val="singleLevel"/>
    <w:tmpl w:val="1140282C"/>
    <w:lvl w:ilvl="0" w:tentative="0">
      <w:start w:val="1"/>
      <w:numFmt w:val="decimal"/>
      <w:suff w:val="space"/>
      <w:lvlText w:val="%1)"/>
      <w:lvlJc w:val="left"/>
    </w:lvl>
  </w:abstractNum>
  <w:abstractNum w:abstractNumId="2">
    <w:nsid w:val="2F000005"/>
    <w:multiLevelType w:val="multilevel"/>
    <w:tmpl w:val="2F000005"/>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3">
    <w:nsid w:val="49EC16BD"/>
    <w:multiLevelType w:val="multilevel"/>
    <w:tmpl w:val="49EC16B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457449FD"/>
    <w:rsid w:val="000F573A"/>
    <w:rsid w:val="001A71BA"/>
    <w:rsid w:val="002B4539"/>
    <w:rsid w:val="003F0537"/>
    <w:rsid w:val="005B3936"/>
    <w:rsid w:val="008F1B81"/>
    <w:rsid w:val="009703BF"/>
    <w:rsid w:val="00C47645"/>
    <w:rsid w:val="00F46B40"/>
    <w:rsid w:val="00FE251C"/>
    <w:rsid w:val="05E157DA"/>
    <w:rsid w:val="08071BDA"/>
    <w:rsid w:val="0849538F"/>
    <w:rsid w:val="159016EF"/>
    <w:rsid w:val="1B2B55D1"/>
    <w:rsid w:val="1C8D4D71"/>
    <w:rsid w:val="2A577A18"/>
    <w:rsid w:val="317A04DD"/>
    <w:rsid w:val="3339258F"/>
    <w:rsid w:val="3AF174A8"/>
    <w:rsid w:val="3CFB0E0A"/>
    <w:rsid w:val="3D6E1C16"/>
    <w:rsid w:val="3E201B64"/>
    <w:rsid w:val="457449FD"/>
    <w:rsid w:val="50344B74"/>
    <w:rsid w:val="51FA0C62"/>
    <w:rsid w:val="5F391678"/>
    <w:rsid w:val="65401246"/>
    <w:rsid w:val="6F0E543A"/>
    <w:rsid w:val="7AD8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Normal Indent"/>
    <w:basedOn w:val="1"/>
    <w:unhideWhenUsed/>
    <w:qFormat/>
    <w:uiPriority w:val="99"/>
    <w:pPr>
      <w:ind w:firstLine="420"/>
    </w:pPr>
    <w:rPr>
      <w:szCs w:val="20"/>
    </w:rPr>
  </w:style>
  <w:style w:type="paragraph" w:styleId="5">
    <w:name w:val="Body Text"/>
    <w:basedOn w:val="1"/>
    <w:next w:val="6"/>
    <w:qFormat/>
    <w:uiPriority w:val="0"/>
    <w:pPr>
      <w:spacing w:line="380" w:lineRule="exact"/>
    </w:pPr>
    <w:rPr>
      <w:rFonts w:ascii="Times New Roman" w:hAnsi="Times New Roman" w:eastAsia="宋体" w:cs="Times New Roman"/>
      <w:sz w:val="24"/>
    </w:rPr>
  </w:style>
  <w:style w:type="paragraph" w:styleId="6">
    <w:name w:val="Body Text First Indent 2"/>
    <w:basedOn w:val="5"/>
    <w:next w:val="7"/>
    <w:qFormat/>
    <w:uiPriority w:val="0"/>
    <w:pPr>
      <w:spacing w:after="120"/>
      <w:ind w:left="420" w:leftChars="200" w:firstLine="420" w:firstLineChars="200"/>
    </w:pPr>
    <w:rPr>
      <w:sz w:val="21"/>
      <w:szCs w:val="21"/>
    </w:rPr>
  </w:style>
  <w:style w:type="paragraph" w:styleId="7">
    <w:name w:val="Body Text First Indent"/>
    <w:basedOn w:val="5"/>
    <w:next w:val="1"/>
    <w:qFormat/>
    <w:uiPriority w:val="0"/>
    <w:pPr>
      <w:adjustRightInd w:val="0"/>
      <w:spacing w:after="60" w:line="360" w:lineRule="atLeast"/>
      <w:ind w:left="72" w:leftChars="30" w:right="30" w:rightChars="30" w:firstLine="420"/>
      <w:jc w:val="center"/>
      <w:textAlignment w:val="baseline"/>
    </w:pPr>
    <w:rPr>
      <w:rFonts w:eastAsia="楷体_GB2312"/>
      <w:kern w:val="0"/>
      <w:sz w:val="32"/>
    </w:rPr>
  </w:style>
  <w:style w:type="paragraph" w:styleId="8">
    <w:name w:val="footer"/>
    <w:basedOn w:val="1"/>
    <w:next w:val="1"/>
    <w:qFormat/>
    <w:uiPriority w:val="0"/>
    <w:pPr>
      <w:tabs>
        <w:tab w:val="center" w:pos="4153"/>
        <w:tab w:val="right" w:pos="8306"/>
      </w:tabs>
      <w:snapToGrid w:val="0"/>
      <w:jc w:val="left"/>
    </w:pPr>
    <w:rPr>
      <w:kern w:val="0"/>
      <w:sz w:val="18"/>
      <w:szCs w:val="18"/>
    </w:rPr>
  </w:style>
  <w:style w:type="paragraph" w:styleId="9">
    <w:name w:val="header"/>
    <w:basedOn w:val="1"/>
    <w:link w:val="14"/>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0"/>
    <w:rPr>
      <w:rFonts w:asciiTheme="minorHAnsi" w:hAnsiTheme="minorHAnsi" w:eastAsiaTheme="minorEastAsia" w:cstheme="minorBidi"/>
      <w:kern w:val="2"/>
      <w:sz w:val="18"/>
      <w:szCs w:val="18"/>
    </w:rPr>
  </w:style>
  <w:style w:type="paragraph" w:customStyle="1" w:styleId="15">
    <w:name w:val="表 靠左"/>
    <w:basedOn w:val="16"/>
    <w:qFormat/>
    <w:uiPriority w:val="0"/>
    <w:pPr>
      <w:jc w:val="left"/>
    </w:pPr>
    <w:rPr>
      <w:rFonts w:ascii="宋体" w:hAnsi="宋体" w:eastAsia="宋体"/>
    </w:rPr>
  </w:style>
  <w:style w:type="paragraph" w:customStyle="1" w:styleId="16">
    <w:name w:val="表"/>
    <w:basedOn w:val="1"/>
    <w:next w:val="1"/>
    <w:qFormat/>
    <w:uiPriority w:val="0"/>
    <w:pPr>
      <w:spacing w:line="240" w:lineRule="auto"/>
      <w:ind w:firstLine="0" w:firstLineChars="0"/>
      <w:jc w:val="center"/>
    </w:p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2850</Words>
  <Characters>3132</Characters>
  <Lines>38</Lines>
  <Paragraphs>10</Paragraphs>
  <TotalTime>1</TotalTime>
  <ScaleCrop>false</ScaleCrop>
  <LinksUpToDate>false</LinksUpToDate>
  <CharactersWithSpaces>3198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2023-02-20T02:28:00Z</dcterms:created>
  <dc:creator>wps大大大象</dc:creator>
  <cp:lastModifiedBy>唐文显</cp:lastModifiedBy>
  <cp:lastPrinted>2023-11-23T11:52:00Z</cp:lastPrinted>
  <dcterms:modified xsi:type="dcterms:W3CDTF">2023-12-01T09:28:53Z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BA4356823D984B9AA5F85FA554251C45</vt:lpwstr>
  </property>
</Properties>
</file>