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jc w:val="center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自动化工程系部分精品课程制作项目申购</w:t>
      </w:r>
    </w:p>
    <w:p/>
    <w:tbl>
      <w:tblPr>
        <w:tblStyle w:val="9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45"/>
        <w:gridCol w:w="1370"/>
        <w:gridCol w:w="4729"/>
        <w:gridCol w:w="9"/>
        <w:gridCol w:w="831"/>
        <w:gridCol w:w="16"/>
        <w:gridCol w:w="438"/>
        <w:gridCol w:w="18"/>
        <w:gridCol w:w="83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序号</w:t>
            </w: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项目名称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服务名称</w:t>
            </w:r>
          </w:p>
        </w:tc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技术参数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单价（元）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小计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《传感器与检测技术》教学能力比赛项目制作服务</w:t>
            </w:r>
          </w:p>
          <w:p>
            <w:pPr>
              <w:pStyle w:val="2"/>
            </w:pPr>
          </w:p>
          <w:p/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“一镜到底”课堂实录视频设计与制作</w:t>
            </w:r>
          </w:p>
        </w:tc>
        <w:tc>
          <w:tcPr>
            <w:tcW w:w="4738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1.整体要求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（1）拍摄制作教学能力比赛课堂实录视频，每段最短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分钟，最长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分钟左右，总时长为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>35--40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分钟，录制时间为7天。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课堂实录视频采用单机方式全程连续录制，不泄露地区、学校名称。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（3）制作团队需至少由项目经理1名、平面设计师1名、摄影师2-3名、后期制作2名，化妆师1名成员组成。</w:t>
            </w:r>
          </w:p>
          <w:p>
            <w:pPr>
              <w:pStyle w:val="11"/>
              <w:ind w:left="15" w:hanging="14" w:hangingChars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（5）全片设计制作应符合参赛选手的要求，参赛选手有权要求修改直至符合要求。必须经过采购人审核后才能正式出片。</w:t>
            </w:r>
          </w:p>
          <w:p>
            <w:pPr>
              <w:pStyle w:val="11"/>
              <w:ind w:left="15" w:hanging="14" w:hangingChars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（6）成品形象不能出现跑形、景深、跳帧及光影上的错误。</w:t>
            </w:r>
          </w:p>
          <w:p>
            <w:pPr>
              <w:pStyle w:val="17"/>
              <w:ind w:left="15" w:hanging="14" w:hangingChars="7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2.视频制作技术要求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（1）稳定性：全片图像同步性能稳定，无失步现象，CTL同步控制信号必须连续：图像无抖动跳跃，色彩无突变，编辑点处图像稳定；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（2）信噪比：图像信噪比不低于55dB，无明显杂波；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（3）色调：白平衡正确，无明显偏色，多机拍摄的镜头衔接处无明显色差；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（5）声道：中文内容音频信号记录于第1声道，音乐、音效、同期声记录于第2声道，若有其他文字解说记录于第3声道（如录音设备无第3声道,则录于第2声道）。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（6）电平指标：-2db—-8db声音应无明显失真、放音过冲、过弱；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（7）音频信噪比不低于48db；</w:t>
            </w:r>
          </w:p>
          <w:p>
            <w:pPr>
              <w:pStyle w:val="17"/>
              <w:ind w:left="-15" w:leftChars="-7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（8）声音和画面要求同步，无交流声或其他杂音等缺陷；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（9）伴音清晰、饱满、圆润，无失真、噪声杂音干扰、音量忽大忽小现象。解说声与现场声无明显比例失调，解说声与背景音乐无明显比例失调</w:t>
            </w:r>
          </w:p>
          <w:p>
            <w:pPr>
              <w:pStyle w:val="2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3.视、音频文件压缩格式要求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 视频录制软件不限，采用H.264/AVC（MPEG-4 Part10）编码格式压缩；动态码流的码率不低于 1024Kbps,不超过1280Kbps；分辨率设定为 720×576（标清 4:3 拍摄）或 1280×720（高清 16:9 拍摄）；采用逐行扫描+（帧率 25 帧/秒）。音频采用AAC（MPEG4 Part3）格式压缩；采样率48KHz；码流 128Kbps（恒定）采用 MP4 格式封装，每个文件大小不超过 200M。每段视频文件命名有明显区分。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szCs w:val="21"/>
              </w:rPr>
              <w:t>必须是双声道，必须做混音处理，视频中的声音和画面要求同步，无交流声或其他杂音等缺陷，无明显失真、放音过冲、过弱。解说声与现场声、背景音乐无明显比例失调，音频信噪比不低于48dB。</w:t>
            </w:r>
          </w:p>
          <w:p>
            <w:pPr>
              <w:pStyle w:val="17"/>
              <w:ind w:left="15" w:hanging="14" w:hangingChars="7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4.拍摄要求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（1）录像设备：使用专业级4K超清数字摄像机设备。采用索尼ILME-FX6V高清摄像机或索尼PXW-FS5M2高清摄像机拍摄。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（2）辅助设备：采用重型轨道、三脚架、影视套灯等辅助拍摄设备。同时可根据环境采用手持拍摄，配备手持稳拍或斯坦尼康背心。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（2）录音设备：根据录音人数需求使用若干个专业级话筒，保证录音质量，没有杂音。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（3）其它设备：提供计时显示器、提词器等辅助设备，提供服装租赁服务。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（4）录制场地为学校智慧教室、实训场、实训室或企业等，提供武鸣校区、长堽校区南宁市多地拍摄服务。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ascii="仿宋" w:hAnsi="仿宋" w:eastAsia="仿宋" w:cs="仿宋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套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课件美化</w:t>
            </w:r>
          </w:p>
        </w:tc>
        <w:tc>
          <w:tcPr>
            <w:tcW w:w="4738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1．制作参赛使用的PPT课件，共13个。每个课件15页—35页,根据实际需求制作。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2．PPT内容必须根据课程内容要求，结合老师需求进行设计。平面排版需与内容相符合，美化大方。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3．PPT设计内容为原创、不得抄袭，使用资料、图片、外景实拍、实验和表演等形象化教学手段，应符合教学内容要求，与讲授内容联系紧密，手段选用恰当。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4．PPT动画必须符合人体视觉感官，有节奏感，符合美学要求。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5.采用PPT或PPTX格式，不要使用PPS格式。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6.如果有内嵌音频、视频或动画，则应在相应目录单独提供一份未嵌入的文件。同时提供关于最佳播放效果的软件版本说明。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7.模板朴素、大方，颜色适宜，便于长时间观看。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8.在模板的适当位置标明课程名称、模块（章或节）序号与模块（章或节）的名称。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9.每页版面的字数不宜太多。正文字号应不小于24磅字，使用Windows系统默认字体。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10.内</w:t>
            </w:r>
            <w:r>
              <w:rPr>
                <w:rFonts w:hint="eastAsia" w:ascii="仿宋" w:hAnsi="仿宋" w:eastAsia="仿宋" w:cs="仿宋"/>
                <w:kern w:val="0"/>
              </w:rPr>
              <w:t>各级标题采用不同的字体和颜色，一张幻灯片上文字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颜色限定在4种以内，注意文字与背景色的反差。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11.内容符合我国法律法规，尊重各民族风俗习惯，版权不存在争议。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12.开发软件Powerpoint运行环境window XP、window7、window8、window10和移动终端。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日内完成所有制作并交付采购方使用。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13个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文档资料美化</w:t>
            </w:r>
          </w:p>
        </w:tc>
        <w:tc>
          <w:tcPr>
            <w:tcW w:w="4738" w:type="dxa"/>
            <w:gridSpan w:val="2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1.对参赛教案（16课时）、教学实施报告（5000字以内）、人才培养方案、课程标准等参赛文档资料进行排版优化、封面制作美化等工作。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2.排版风格需与内容相符合，美化大方。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3.每个相同类型文档需做到设计排版风格统一。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4.统一采用系统默认字体，字号大小适度，引用的图片、图表清晰美观。</w:t>
            </w: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5.</w:t>
            </w:r>
            <w:r>
              <w:rPr>
                <w:rFonts w:hint="eastAsia" w:ascii="仿宋" w:hAnsi="仿宋" w:eastAsia="仿宋" w:cs="仿宋"/>
                <w:szCs w:val="21"/>
              </w:rPr>
              <w:t>相关图表的制作。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6.提供不少于5份教案及教学实施报告、人才培养方案、课程标准美化案例、完整PDF版本，且需提供对应得合同及获奖情况证明。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1套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二维动画设计</w:t>
            </w:r>
          </w:p>
        </w:tc>
        <w:tc>
          <w:tcPr>
            <w:tcW w:w="4738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水肥配兑系统原理图一（无控制机）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1.时长2-3分钟，Swf或mp4格式，形式包含人物场景设计，设备动作原理演示等；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2.动画形象均采用二维平面设计，素材进行原创手绘。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3.动画连续性强、节奏合适，静止画面时间不超过5秒；帧和帧之间有较强的关联性；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4.动画配乐音量不宜过大，音乐与内容相符，并提供控制开关；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5.清晰度：1920*1080，输出成品符合16：9宽屏标准。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6.设置暂停与播放控制按钮，设置进步拖动条。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7.帧率：25帧/秒；扫描方式采用逐行扫描。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二维动画设计</w:t>
            </w:r>
          </w:p>
        </w:tc>
        <w:tc>
          <w:tcPr>
            <w:tcW w:w="4738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压力表校验</w:t>
            </w:r>
            <w:r>
              <w:rPr>
                <w:rFonts w:ascii="仿宋" w:hAnsi="仿宋" w:eastAsia="仿宋"/>
              </w:rPr>
              <w:t>1卫生清理 2外观检查3安装被校表        4排气 5升压校验  6降压校验  7数据分析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提供压力表校验二维动画案例作为佐证。</w:t>
            </w:r>
          </w:p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参考下图进行设备布局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drawing>
                <wp:inline distT="0" distB="0" distL="0" distR="0">
                  <wp:extent cx="1635125" cy="909955"/>
                  <wp:effectExtent l="0" t="0" r="317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14" cy="9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1.时长2分钟左右，Swf或mp4格式，形式包含人物场景设计，设备动作原理演示等；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2.动画形象均采用二维平面设计，素材进行原创手绘。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3.动画连续性强、节奏合适，静止画面时间不超过5秒；帧和帧之间有较强的关联性；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4.动画配乐音量不宜过大，音乐与内容相符，并提供控制开关；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5.清晰度：1920*1080，输出成品符合16：9宽屏标准。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6.设置暂停与播放控制按钮，设置进步拖动条。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7.帧率：25帧/秒；扫描方式采用逐行扫描。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三维动画设计</w:t>
            </w: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电磁流量计的工作原理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模型要求用高精模，按尺寸比例1:1建模，无断面，重面，漏面，破面，黑面等，无孤立顶点，法线反转等缺陷，曲面平滑，布线合理无多余线，无三角面，各个部件分别打组塌陷并按规范命名。，uv分布合理，无uv重叠或扭曲，尽量减少uv空隙，贴图命名规范，分别贴上漫反射贴图，高光反射贴图，法线贴图，凹凸贴图，ao贴图。灯光采用u型板，三点光，太阳光等，尽量贴近真实。模型设备运作流畅，流畅连贯，连续性强、节奏合适，静止画面时间不超过5秒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MP4格式，时长</w:t>
            </w: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分钟左右。</w:t>
            </w:r>
          </w:p>
          <w:p>
            <w:pPr>
              <w:pStyle w:val="11"/>
              <w:ind w:firstLine="422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项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压力表结构三维动画设计</w:t>
            </w: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用三维动画展示弹簧管压力表的结构组成。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模型要求用高精模，按尺寸比例1:1建模，无断面，重面，漏面，破面，黑面等，无孤立顶点，法线反转等缺陷，曲面平滑，布线合理无多余线，无三角面，各个部件分别打组塌陷并按规范命名。，uv分布合理，无uv重叠或扭曲，尽量减少uv空隙，贴图命名规范，分别贴上漫反射贴图，高光反射贴图，法线贴图，凹凸贴图，ao贴图。灯光采用u型板，三点光，太阳光等，尽量贴近真实。模型设备运作流畅，流畅连贯，连续性强、节奏合适，静止画面时间不超过5秒。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MP4格式，时长</w:t>
            </w: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分钟左右。</w:t>
            </w:r>
          </w:p>
          <w:p>
            <w:pPr>
              <w:pStyle w:val="11"/>
              <w:ind w:firstLine="422"/>
              <w:jc w:val="left"/>
              <w:rPr>
                <w:rFonts w:hint="eastAsia" w:ascii="仿宋" w:hAnsi="仿宋" w:eastAsia="仿宋" w:cs="仿宋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活页式教材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设计</w:t>
            </w: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Hans"/>
              </w:rPr>
              <w:t>活页式教材45份，每份</w:t>
            </w:r>
            <w:r>
              <w:rPr>
                <w:rFonts w:hint="eastAsia" w:ascii="仿宋" w:hAnsi="仿宋" w:eastAsia="仿宋" w:cs="仿宋"/>
              </w:rPr>
              <w:t>60</w:t>
            </w:r>
            <w:r>
              <w:rPr>
                <w:rFonts w:hint="eastAsia" w:ascii="仿宋" w:hAnsi="仿宋" w:eastAsia="仿宋" w:cs="仿宋"/>
                <w:lang w:eastAsia="zh-Hans"/>
              </w:rPr>
              <w:t>页。</w:t>
            </w:r>
            <w:r>
              <w:rPr>
                <w:rFonts w:hint="eastAsia" w:ascii="仿宋" w:hAnsi="仿宋" w:eastAsia="仿宋" w:cs="仿宋"/>
              </w:rPr>
              <w:t>包括</w:t>
            </w:r>
            <w:r>
              <w:rPr>
                <w:rFonts w:hint="eastAsia" w:ascii="仿宋" w:hAnsi="仿宋" w:eastAsia="仿宋" w:cs="仿宋"/>
                <w:lang w:eastAsia="zh-Hans"/>
              </w:rPr>
              <w:t>设计、</w:t>
            </w:r>
            <w:r>
              <w:rPr>
                <w:rFonts w:hint="eastAsia" w:ascii="仿宋" w:hAnsi="仿宋" w:eastAsia="仿宋" w:cs="仿宋"/>
              </w:rPr>
              <w:t>排版、打印、购买活页面夹进行装订</w:t>
            </w:r>
          </w:p>
          <w:p>
            <w:pPr>
              <w:pStyle w:val="11"/>
              <w:ind w:firstLine="422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项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教室环境美化布置</w:t>
            </w: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租赁电视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</w:rPr>
              <w:t>86寸，一台，一天。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租赁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屏风：</w:t>
            </w:r>
            <w:r>
              <w:rPr>
                <w:rFonts w:hint="eastAsia" w:ascii="仿宋" w:hAnsi="仿宋" w:eastAsia="仿宋" w:cs="仿宋"/>
              </w:rPr>
              <w:t>一组，2米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易拉宝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：设计及</w:t>
            </w:r>
            <w:r>
              <w:rPr>
                <w:rFonts w:hint="eastAsia" w:ascii="仿宋" w:hAnsi="仿宋" w:eastAsia="仿宋" w:cs="仿宋"/>
              </w:rPr>
              <w:t>印刷4个，200cm*80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4个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Hans"/>
              </w:rPr>
              <w:t>标语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</w:rPr>
              <w:t>思政标语设计，印刷6组，标语字数8-10个字一组，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6组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eastAsia="zh-Hans"/>
              </w:rPr>
            </w:pPr>
          </w:p>
        </w:tc>
        <w:tc>
          <w:tcPr>
            <w:tcW w:w="4738" w:type="dxa"/>
            <w:gridSpan w:val="2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横幅：设计及印刷，两条，3米*60cm。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2条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9719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小计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6" w:hRule="atLeast"/>
        </w:trPr>
        <w:tc>
          <w:tcPr>
            <w:tcW w:w="426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045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《自动化生产线安装与调试》精品在线课程资源库制作服务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4729" w:type="dxa"/>
          </w:tcPr>
          <w:p>
            <w:pPr>
              <w:rPr>
                <w:rFonts w:ascii="宋体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交互动画：通过动画搭建水肥一体系统。通过点击按键切换三种搭建场景：</w:t>
            </w:r>
            <w:r>
              <w:rPr>
                <w:rFonts w:hint="eastAsia" w:ascii="仿宋" w:hAnsi="仿宋" w:eastAsia="仿宋"/>
                <w:szCs w:val="21"/>
              </w:rPr>
              <w:t>首部系统、施肥系统、土壤墒情监测系统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1.动画连续性强、节奏合适，静止画面时间不超过5秒；帧和帧之间有较强的关联性；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2.画面简洁清晰，界面友好，操作简单；尽量根据教学内容的实际需求，设计交互功能，促进学习者参与学习，每个场景设计中保证至少3个交互；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3.交互操作简单，设置游戏场景模式，可切换场景进入交互互动。.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6" w:type="dxa"/>
            <w:vMerge w:val="continue"/>
          </w:tcPr>
          <w:p>
            <w:pPr>
              <w:jc w:val="center"/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交互动画设计</w:t>
            </w:r>
          </w:p>
        </w:tc>
        <w:tc>
          <w:tcPr>
            <w:tcW w:w="4729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水肥配兑系统设备接线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1.动画连续性强、节奏合适，静止画面时间不超过5秒；帧和帧之间有较强的关联性；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2.画面简洁清晰，界面友好，操作简单；尽量根据教学内容的实际需求，设计交互功能，促进学习者参与学习，保证至少3个交互；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3.交互操作简单，设置正确与错误提示，设置时间表。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仿真接线三维动画设计</w:t>
            </w:r>
          </w:p>
        </w:tc>
        <w:tc>
          <w:tcPr>
            <w:tcW w:w="472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练技能：虚拟仿真接线。分为三个步骤， </w:t>
            </w:r>
          </w:p>
          <w:p>
            <w:pPr>
              <w:pStyle w:val="11"/>
              <w:numPr>
                <w:ilvl w:val="0"/>
                <w:numId w:val="1"/>
              </w:numPr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选型（是图片）</w:t>
            </w:r>
            <w:r>
              <w:rPr>
                <w:rFonts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Cs w:val="21"/>
              </w:rPr>
              <w:t>2.安装设备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（3个）</w:t>
            </w:r>
            <w:r>
              <w:rPr>
                <w:rFonts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Cs w:val="21"/>
              </w:rPr>
              <w:t>3.接线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（若干管道，5-6根线）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三维模型设计5个，三维展示时长2分钟。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1. </w:t>
            </w:r>
            <w:r>
              <w:rPr>
                <w:rFonts w:hint="eastAsia" w:ascii="仿宋" w:hAnsi="仿宋" w:eastAsia="仿宋" w:cs="仿宋"/>
              </w:rPr>
              <w:t>模型要求用高精模，按尺寸比例1:1建模，无断面，重面，漏面，破面，黑面等，无孤立顶点，法线反转等缺陷，曲面平滑，布线合理无多余线，无三角面，各个部件分别打组塌陷并按规范命名。，2. uv分布合理，无uv重叠或扭曲，尽量减少uv空隙，贴图命名规范，分别贴上漫反射贴图，高光反射贴图，法线贴图，凹凸贴图，ao贴图。灯光采用u型板，三点光，太阳光等，尽量贴近真实。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3.模型设备运作流畅，流畅连贯，连续性强、节奏合适，静止画面时间不超过5秒。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4.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设计闯关交互功能，促进学习者参与学习，每个关卡保证至少3个交互。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三维动画设计</w:t>
            </w:r>
          </w:p>
        </w:tc>
        <w:tc>
          <w:tcPr>
            <w:tcW w:w="472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电磁流量计的结构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模型要求用高精模，按尺寸比例1:1建模，无断面，重面，漏面，破面，黑面等，无孤立顶点，法线反转等缺陷，曲面平滑，布线合理无多余线，无三角面，各个部件分别打组塌陷并按规范命名。，uv分布合理，无uv重叠或扭曲，尽量减少uv空隙，贴图命名规范，分别贴上漫反射贴图，高光反射贴图，法线贴图，凹凸贴图，ao贴图。灯光采用u型板，三点光，太阳光等，尽量贴近真实。模型设备运作流畅，流畅连贯，连续性强、节奏合适，静止画面时间不超过5秒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MP4格式，时长</w:t>
            </w: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分钟左右。</w:t>
            </w:r>
          </w:p>
          <w:p>
            <w:pPr>
              <w:pStyle w:val="11"/>
              <w:ind w:firstLine="422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交互动画设计</w:t>
            </w:r>
          </w:p>
        </w:tc>
        <w:tc>
          <w:tcPr>
            <w:tcW w:w="4729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交互式动画：设置若干个安装点，学生把流量计拖动到安装位置，系统能显示位置选择的正误。动画设计总时长2分钟。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1.动画连续性强、节奏合适，静止画面时间不超过5秒；帧和帧之间有较强的关联性；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2.画面简洁清晰，界面友好，操作简单；尽量根据教学内容的实际需求，设计交互功能，促进学习者参与学习，保证至少3个交互；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3.交互操作简单，设置正确与错误提示，设置时间表。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5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二维动画设计</w:t>
            </w:r>
          </w:p>
        </w:tc>
        <w:tc>
          <w:tcPr>
            <w:tcW w:w="472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水肥配兑系统原理二（有控制机和信号线）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1.时长2-3分钟，Swf或mp4格式，形式包含人物场景设计，设备动作原理演示等；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2.动画形象均采用二维平面设计，素材进行原创手绘。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3.动画连续性强、节奏合适，静止画面时间不超过5秒；帧和帧之间有较强的关联性；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4.动画配乐音量不宜过大，音乐与内容相符，并提供控制开关；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5.清晰度：1920*1080，输出成品符合16：9宽屏标准。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6.设置暂停与播放控制按钮，设置进步拖动条。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7.帧率：25帧/秒；扫描方式采用逐行扫描。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04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4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二维动画设计</w:t>
            </w:r>
          </w:p>
        </w:tc>
        <w:tc>
          <w:tcPr>
            <w:tcW w:w="4729" w:type="dxa"/>
          </w:tcPr>
          <w:p>
            <w:pPr>
              <w:pStyle w:val="11"/>
              <w:ind w:firstLine="0" w:firstLineChars="0"/>
              <w:jc w:val="left"/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水肥一体技术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</w:rPr>
              <w:t>1</w:t>
            </w:r>
            <w:r>
              <w:rPr>
                <w:rFonts w:hint="eastAsia" w:ascii="仿宋" w:hAnsi="仿宋" w:eastAsia="仿宋"/>
              </w:rPr>
              <w:t>水湿润</w:t>
            </w:r>
            <w:r>
              <w:rPr>
                <w:rFonts w:hint="eastAsia" w:ascii="仿宋" w:hAnsi="仿宋" w:eastAsia="仿宋"/>
                <w:kern w:val="0"/>
              </w:rPr>
              <w:t>2</w:t>
            </w:r>
            <w:r>
              <w:rPr>
                <w:rFonts w:hint="eastAsia" w:ascii="仿宋" w:hAnsi="仿宋" w:eastAsia="仿宋"/>
              </w:rPr>
              <w:t>肥液混合配比</w:t>
            </w:r>
            <w:r>
              <w:rPr>
                <w:rFonts w:hint="eastAsia" w:ascii="仿宋" w:hAnsi="仿宋" w:eastAsia="仿宋"/>
                <w:kern w:val="0"/>
              </w:rPr>
              <w:t>3</w:t>
            </w:r>
            <w:r>
              <w:rPr>
                <w:rFonts w:hint="eastAsia" w:ascii="仿宋" w:hAnsi="仿宋" w:eastAsia="仿宋"/>
              </w:rPr>
              <w:t>水肥一体灌溉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提供水肥一体技术动画案例作为佐证。</w:t>
            </w:r>
          </w:p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参考下图进行设备布局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b/>
              </w:rPr>
              <w:drawing>
                <wp:inline distT="0" distB="0" distL="0" distR="0">
                  <wp:extent cx="1811020" cy="9023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026" cy="91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1.时长2分钟左右，Swf或mp4格式，形式包含人物场景设计，设备动作原理演示等；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2.动画形象均采用二维平面设计，素材进行原创手绘。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3.动画连续性强、节奏合适，静止画面时间不超过5秒；帧和帧之间有较强的关联性；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4.动画配乐音量不宜过大，音乐与内容相符，并提供控制开关；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5.清晰度：1920*1080，输出成品符合16：9宽屏标准。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6.设置暂停与播放控制按钮，设置进步拖动条。</w:t>
            </w:r>
          </w:p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7.帧率：25帧/秒；扫描方式采用逐行扫描。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Cs w:val="21"/>
              </w:rPr>
              <w:t>日内完成所有制作并交付采购方使用。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1" w:hRule="atLeast"/>
        </w:trPr>
        <w:tc>
          <w:tcPr>
            <w:tcW w:w="284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小计</w:t>
            </w:r>
          </w:p>
        </w:tc>
        <w:tc>
          <w:tcPr>
            <w:tcW w:w="472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1" w:hRule="atLeast"/>
        </w:trPr>
        <w:tc>
          <w:tcPr>
            <w:tcW w:w="284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合计</w:t>
            </w:r>
          </w:p>
        </w:tc>
        <w:tc>
          <w:tcPr>
            <w:tcW w:w="472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9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rPr>
          <w:b/>
          <w:bCs/>
          <w:color w:val="0000FF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C8CF"/>
    <w:multiLevelType w:val="singleLevel"/>
    <w:tmpl w:val="7F68C8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N2JkNWQ2M2VkMzg0ODY3OTI3M2E3MWM0ZWU5YWQifQ=="/>
  </w:docVars>
  <w:rsids>
    <w:rsidRoot w:val="00890B88"/>
    <w:rsid w:val="00033D0E"/>
    <w:rsid w:val="00046444"/>
    <w:rsid w:val="00072741"/>
    <w:rsid w:val="00090F76"/>
    <w:rsid w:val="00096F04"/>
    <w:rsid w:val="000A6935"/>
    <w:rsid w:val="000E02A5"/>
    <w:rsid w:val="000E5704"/>
    <w:rsid w:val="00111A7F"/>
    <w:rsid w:val="0011758E"/>
    <w:rsid w:val="00122FFF"/>
    <w:rsid w:val="001376D8"/>
    <w:rsid w:val="001458C8"/>
    <w:rsid w:val="001924BD"/>
    <w:rsid w:val="001A0BD2"/>
    <w:rsid w:val="001A44A3"/>
    <w:rsid w:val="001A59BE"/>
    <w:rsid w:val="001B46CD"/>
    <w:rsid w:val="001F48D4"/>
    <w:rsid w:val="001F4980"/>
    <w:rsid w:val="002076CA"/>
    <w:rsid w:val="00211CD4"/>
    <w:rsid w:val="002210C6"/>
    <w:rsid w:val="00241AC1"/>
    <w:rsid w:val="00250DBC"/>
    <w:rsid w:val="00271E5B"/>
    <w:rsid w:val="002A0D37"/>
    <w:rsid w:val="002A7CD7"/>
    <w:rsid w:val="002D6F43"/>
    <w:rsid w:val="002E7CA1"/>
    <w:rsid w:val="00312DBD"/>
    <w:rsid w:val="00313DA9"/>
    <w:rsid w:val="003336EA"/>
    <w:rsid w:val="00367CD8"/>
    <w:rsid w:val="003732E2"/>
    <w:rsid w:val="00376A87"/>
    <w:rsid w:val="00380106"/>
    <w:rsid w:val="003A7F19"/>
    <w:rsid w:val="003A7FC1"/>
    <w:rsid w:val="003B180A"/>
    <w:rsid w:val="003E69E3"/>
    <w:rsid w:val="00405F43"/>
    <w:rsid w:val="00423273"/>
    <w:rsid w:val="004603D2"/>
    <w:rsid w:val="0048298F"/>
    <w:rsid w:val="004D0A1B"/>
    <w:rsid w:val="004D2552"/>
    <w:rsid w:val="004F4A2B"/>
    <w:rsid w:val="00520F43"/>
    <w:rsid w:val="00533CAA"/>
    <w:rsid w:val="0054264C"/>
    <w:rsid w:val="00547C5B"/>
    <w:rsid w:val="00555CA9"/>
    <w:rsid w:val="00563F7A"/>
    <w:rsid w:val="0058286F"/>
    <w:rsid w:val="00596875"/>
    <w:rsid w:val="005A6DC6"/>
    <w:rsid w:val="005C55A6"/>
    <w:rsid w:val="0060068B"/>
    <w:rsid w:val="00604197"/>
    <w:rsid w:val="00606887"/>
    <w:rsid w:val="00675D79"/>
    <w:rsid w:val="006843BD"/>
    <w:rsid w:val="006D1D56"/>
    <w:rsid w:val="006D75CB"/>
    <w:rsid w:val="006E6159"/>
    <w:rsid w:val="006F25CC"/>
    <w:rsid w:val="006F5BDF"/>
    <w:rsid w:val="0079644C"/>
    <w:rsid w:val="007A5315"/>
    <w:rsid w:val="007B438A"/>
    <w:rsid w:val="007D32C2"/>
    <w:rsid w:val="007F5A3D"/>
    <w:rsid w:val="008036D5"/>
    <w:rsid w:val="008307AD"/>
    <w:rsid w:val="00844D2E"/>
    <w:rsid w:val="008543D4"/>
    <w:rsid w:val="00890B88"/>
    <w:rsid w:val="008A0E4D"/>
    <w:rsid w:val="008B123D"/>
    <w:rsid w:val="008C3668"/>
    <w:rsid w:val="009047F0"/>
    <w:rsid w:val="00913C45"/>
    <w:rsid w:val="00914EF1"/>
    <w:rsid w:val="00921A8D"/>
    <w:rsid w:val="00925E02"/>
    <w:rsid w:val="00932DD1"/>
    <w:rsid w:val="0094243D"/>
    <w:rsid w:val="009A03E4"/>
    <w:rsid w:val="009A0BD3"/>
    <w:rsid w:val="009B5CA8"/>
    <w:rsid w:val="009C01D3"/>
    <w:rsid w:val="009C3A54"/>
    <w:rsid w:val="009D10CC"/>
    <w:rsid w:val="009E3851"/>
    <w:rsid w:val="00A01E02"/>
    <w:rsid w:val="00A324D3"/>
    <w:rsid w:val="00A33575"/>
    <w:rsid w:val="00A34E97"/>
    <w:rsid w:val="00A70D9F"/>
    <w:rsid w:val="00A74E3A"/>
    <w:rsid w:val="00AA19F3"/>
    <w:rsid w:val="00AA4D96"/>
    <w:rsid w:val="00AB0026"/>
    <w:rsid w:val="00AB1B7B"/>
    <w:rsid w:val="00AB5B9D"/>
    <w:rsid w:val="00AC631E"/>
    <w:rsid w:val="00AD4AC6"/>
    <w:rsid w:val="00B21514"/>
    <w:rsid w:val="00B42443"/>
    <w:rsid w:val="00B67FC3"/>
    <w:rsid w:val="00B71933"/>
    <w:rsid w:val="00B74E64"/>
    <w:rsid w:val="00B961D3"/>
    <w:rsid w:val="00BB3451"/>
    <w:rsid w:val="00BC0EA0"/>
    <w:rsid w:val="00BC12B5"/>
    <w:rsid w:val="00C021B6"/>
    <w:rsid w:val="00C266AE"/>
    <w:rsid w:val="00C7510B"/>
    <w:rsid w:val="00C81571"/>
    <w:rsid w:val="00C85365"/>
    <w:rsid w:val="00CA193E"/>
    <w:rsid w:val="00CB20B7"/>
    <w:rsid w:val="00CC3A51"/>
    <w:rsid w:val="00CE22F9"/>
    <w:rsid w:val="00CF0AB5"/>
    <w:rsid w:val="00D23253"/>
    <w:rsid w:val="00D332A7"/>
    <w:rsid w:val="00D61BE1"/>
    <w:rsid w:val="00D97307"/>
    <w:rsid w:val="00DB6ACD"/>
    <w:rsid w:val="00DD051B"/>
    <w:rsid w:val="00E16308"/>
    <w:rsid w:val="00E27FBE"/>
    <w:rsid w:val="00E333D2"/>
    <w:rsid w:val="00E34F2C"/>
    <w:rsid w:val="00E637FD"/>
    <w:rsid w:val="00E74DDE"/>
    <w:rsid w:val="00E81621"/>
    <w:rsid w:val="00E91BA5"/>
    <w:rsid w:val="00E91DCE"/>
    <w:rsid w:val="00E937DC"/>
    <w:rsid w:val="00EC1965"/>
    <w:rsid w:val="00ED0D93"/>
    <w:rsid w:val="00ED5959"/>
    <w:rsid w:val="00EE1F8F"/>
    <w:rsid w:val="00EE4023"/>
    <w:rsid w:val="00EF22AA"/>
    <w:rsid w:val="00F13A6C"/>
    <w:rsid w:val="00F5215F"/>
    <w:rsid w:val="00F54E17"/>
    <w:rsid w:val="00F702CA"/>
    <w:rsid w:val="00F76CDB"/>
    <w:rsid w:val="00FB0914"/>
    <w:rsid w:val="0111150E"/>
    <w:rsid w:val="017041E0"/>
    <w:rsid w:val="033F0E38"/>
    <w:rsid w:val="03E7362A"/>
    <w:rsid w:val="04744FBC"/>
    <w:rsid w:val="04CFC8C9"/>
    <w:rsid w:val="071406B7"/>
    <w:rsid w:val="076E5E56"/>
    <w:rsid w:val="07F95B89"/>
    <w:rsid w:val="08F71E71"/>
    <w:rsid w:val="095A1ADB"/>
    <w:rsid w:val="0D835DEF"/>
    <w:rsid w:val="0EFC6AC7"/>
    <w:rsid w:val="0FBB278D"/>
    <w:rsid w:val="116D1F97"/>
    <w:rsid w:val="12286FDF"/>
    <w:rsid w:val="125E46C7"/>
    <w:rsid w:val="156028CA"/>
    <w:rsid w:val="1632331B"/>
    <w:rsid w:val="16BFAD95"/>
    <w:rsid w:val="17204796"/>
    <w:rsid w:val="192C5B8E"/>
    <w:rsid w:val="1ABDA5B5"/>
    <w:rsid w:val="1C56767E"/>
    <w:rsid w:val="1D013FFB"/>
    <w:rsid w:val="1E3F02BB"/>
    <w:rsid w:val="1EE20D42"/>
    <w:rsid w:val="1EFDDF7B"/>
    <w:rsid w:val="1F9B3C24"/>
    <w:rsid w:val="20427FF0"/>
    <w:rsid w:val="25FA62CC"/>
    <w:rsid w:val="265F56E4"/>
    <w:rsid w:val="2AA01633"/>
    <w:rsid w:val="2B957697"/>
    <w:rsid w:val="2BFF4EC0"/>
    <w:rsid w:val="2CAF7CD4"/>
    <w:rsid w:val="2E5E350E"/>
    <w:rsid w:val="2EB82BBE"/>
    <w:rsid w:val="2EF693B8"/>
    <w:rsid w:val="322F3278"/>
    <w:rsid w:val="340C13D2"/>
    <w:rsid w:val="3510545B"/>
    <w:rsid w:val="359474AC"/>
    <w:rsid w:val="36C97EEC"/>
    <w:rsid w:val="37DF1EB5"/>
    <w:rsid w:val="392D0E83"/>
    <w:rsid w:val="39DC7D6B"/>
    <w:rsid w:val="3BF217C1"/>
    <w:rsid w:val="3BF4B2DA"/>
    <w:rsid w:val="3DE6D0D4"/>
    <w:rsid w:val="3E7ACC3E"/>
    <w:rsid w:val="3EC421D5"/>
    <w:rsid w:val="3EFBE448"/>
    <w:rsid w:val="3F3BE415"/>
    <w:rsid w:val="3F5F76AD"/>
    <w:rsid w:val="41BB321B"/>
    <w:rsid w:val="427D6363"/>
    <w:rsid w:val="42BA41B0"/>
    <w:rsid w:val="45AB6139"/>
    <w:rsid w:val="488B1846"/>
    <w:rsid w:val="49E502F0"/>
    <w:rsid w:val="4AED253F"/>
    <w:rsid w:val="4CAC6C9C"/>
    <w:rsid w:val="4D6F6FA9"/>
    <w:rsid w:val="4DEB0836"/>
    <w:rsid w:val="4EB70FCC"/>
    <w:rsid w:val="4FC86C1C"/>
    <w:rsid w:val="4FFFE443"/>
    <w:rsid w:val="51A25E91"/>
    <w:rsid w:val="52D434D8"/>
    <w:rsid w:val="53F533A7"/>
    <w:rsid w:val="56A572E2"/>
    <w:rsid w:val="57947C1E"/>
    <w:rsid w:val="589B24FA"/>
    <w:rsid w:val="5A8311E4"/>
    <w:rsid w:val="5D5340D1"/>
    <w:rsid w:val="5DBE2633"/>
    <w:rsid w:val="5DFF04F4"/>
    <w:rsid w:val="5E421FE3"/>
    <w:rsid w:val="5E5575BE"/>
    <w:rsid w:val="5EFBDFB9"/>
    <w:rsid w:val="5FFDA9DA"/>
    <w:rsid w:val="600456ED"/>
    <w:rsid w:val="60274351"/>
    <w:rsid w:val="6155202D"/>
    <w:rsid w:val="63150B40"/>
    <w:rsid w:val="64FC5C7A"/>
    <w:rsid w:val="66E02725"/>
    <w:rsid w:val="674763C4"/>
    <w:rsid w:val="689026E1"/>
    <w:rsid w:val="6AE95F66"/>
    <w:rsid w:val="6B032AFA"/>
    <w:rsid w:val="6B697D3D"/>
    <w:rsid w:val="6CBD33A5"/>
    <w:rsid w:val="6E580433"/>
    <w:rsid w:val="6F254D75"/>
    <w:rsid w:val="6F77DED8"/>
    <w:rsid w:val="6FEEF998"/>
    <w:rsid w:val="6FEF0353"/>
    <w:rsid w:val="71466DCC"/>
    <w:rsid w:val="71EB2389"/>
    <w:rsid w:val="72401031"/>
    <w:rsid w:val="734DDEC5"/>
    <w:rsid w:val="739FDAD6"/>
    <w:rsid w:val="75B634FA"/>
    <w:rsid w:val="76BD791B"/>
    <w:rsid w:val="778C03EB"/>
    <w:rsid w:val="77BFF506"/>
    <w:rsid w:val="77DDB37E"/>
    <w:rsid w:val="77EFA738"/>
    <w:rsid w:val="77F672F9"/>
    <w:rsid w:val="77FF127D"/>
    <w:rsid w:val="78121817"/>
    <w:rsid w:val="787943FB"/>
    <w:rsid w:val="795C7E8F"/>
    <w:rsid w:val="7BC11979"/>
    <w:rsid w:val="7DFDB218"/>
    <w:rsid w:val="7E6DB8BC"/>
    <w:rsid w:val="7F3DC3CA"/>
    <w:rsid w:val="7F3F3BF1"/>
    <w:rsid w:val="7F9FB146"/>
    <w:rsid w:val="7FCF1E78"/>
    <w:rsid w:val="7FEEE6A3"/>
    <w:rsid w:val="7FEF0788"/>
    <w:rsid w:val="7FFC9421"/>
    <w:rsid w:val="7FFF1A2E"/>
    <w:rsid w:val="8FD3D85C"/>
    <w:rsid w:val="99599A04"/>
    <w:rsid w:val="997B1A60"/>
    <w:rsid w:val="9AF78EE2"/>
    <w:rsid w:val="AEBF445E"/>
    <w:rsid w:val="B2F7FD12"/>
    <w:rsid w:val="BBDFA18F"/>
    <w:rsid w:val="BEFE0B92"/>
    <w:rsid w:val="BFBF78C4"/>
    <w:rsid w:val="DEDFD1D0"/>
    <w:rsid w:val="DFBFBD6B"/>
    <w:rsid w:val="E377374E"/>
    <w:rsid w:val="E6CB4E07"/>
    <w:rsid w:val="E7E38F8D"/>
    <w:rsid w:val="EB7E726A"/>
    <w:rsid w:val="EBDA719F"/>
    <w:rsid w:val="EE378614"/>
    <w:rsid w:val="EE5EC8C3"/>
    <w:rsid w:val="EF0EEF94"/>
    <w:rsid w:val="F0BF00ED"/>
    <w:rsid w:val="F3B69A8A"/>
    <w:rsid w:val="F3FD633B"/>
    <w:rsid w:val="F6F63CD5"/>
    <w:rsid w:val="F79FA247"/>
    <w:rsid w:val="F95F43F6"/>
    <w:rsid w:val="FA6FCF31"/>
    <w:rsid w:val="FBDF4F23"/>
    <w:rsid w:val="FEF68B14"/>
    <w:rsid w:val="FEFDF618"/>
    <w:rsid w:val="FF77FD6F"/>
    <w:rsid w:val="FFBF6567"/>
    <w:rsid w:val="FFF31699"/>
    <w:rsid w:val="FFF3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widowControl/>
      <w:jc w:val="left"/>
    </w:pPr>
    <w:rPr>
      <w:rFonts w:ascii="Calibri" w:hAnsi="Calibri"/>
      <w:kern w:val="0"/>
    </w:rPr>
  </w:style>
  <w:style w:type="paragraph" w:styleId="4">
    <w:name w:val="Plain Text"/>
    <w:basedOn w:val="1"/>
    <w:next w:val="3"/>
    <w:link w:val="14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纯文本 字符"/>
    <w:basedOn w:val="10"/>
    <w:qFormat/>
    <w:uiPriority w:val="0"/>
    <w:rPr>
      <w:rFonts w:hAnsi="Courier New" w:cs="Courier New" w:asciiTheme="minorEastAsia"/>
      <w:szCs w:val="24"/>
    </w:rPr>
  </w:style>
  <w:style w:type="character" w:customStyle="1" w:styleId="16">
    <w:name w:val="标题 4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列表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858</Words>
  <Characters>4892</Characters>
  <Lines>40</Lines>
  <Paragraphs>11</Paragraphs>
  <TotalTime>28</TotalTime>
  <ScaleCrop>false</ScaleCrop>
  <LinksUpToDate>false</LinksUpToDate>
  <CharactersWithSpaces>5739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2022-05-05T07:27:00Z</dcterms:created>
  <dc:creator>vivian</dc:creator>
  <cp:lastModifiedBy>Administrator</cp:lastModifiedBy>
  <cp:lastPrinted>2022-03-12T00:57:00Z</cp:lastPrinted>
  <dcterms:modified xsi:type="dcterms:W3CDTF">2022-05-23T03:10:31Z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065419EED40D438EB6D9F2872FB1422C</vt:lpwstr>
  </property>
  <property fmtid="{D5CDD505-2E9C-101B-9397-08002B2CF9AE}" pid="4" name="commondata">
    <vt:lpwstr>eyJoZGlkIjoiNGJlYTcwYWM2MmZkMzNmYTk0NTQ0NjkyMThjNTc5MTkifQ==</vt:lpwstr>
  </property>
</Properties>
</file>