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="402" w:leftChars="0"/>
        <w:jc w:val="center"/>
        <w:rPr>
          <w:rFonts w:hint="eastAsia" w:eastAsia="仿宋"/>
          <w:lang w:val="en-US" w:eastAsia="zh-CN"/>
        </w:rPr>
      </w:pPr>
      <w:r>
        <w:rPr>
          <w:rFonts w:hint="eastAsia"/>
          <w:sz w:val="32"/>
          <w:szCs w:val="32"/>
        </w:rPr>
        <w:t>业财税融合云上实训模块</w:t>
      </w:r>
      <w:r>
        <w:rPr>
          <w:rFonts w:hint="eastAsia"/>
          <w:sz w:val="32"/>
          <w:szCs w:val="32"/>
          <w:lang w:eastAsia="zh-CN"/>
        </w:rPr>
        <w:t>采购清单</w:t>
      </w:r>
    </w:p>
    <w:tbl>
      <w:tblPr>
        <w:tblStyle w:val="5"/>
        <w:tblW w:w="12069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741"/>
        <w:gridCol w:w="1961"/>
        <w:gridCol w:w="4100"/>
        <w:gridCol w:w="661"/>
        <w:gridCol w:w="1029"/>
        <w:gridCol w:w="1029"/>
        <w:gridCol w:w="1029"/>
        <w:gridCol w:w="102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6" w:hRule="atLeast"/>
          <w:jc w:val="center"/>
        </w:trPr>
        <w:tc>
          <w:tcPr>
            <w:tcW w:w="7953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6"/>
                <w:szCs w:val="36"/>
              </w:rPr>
              <w:t>业财税融合云上实训模块B</w:t>
            </w: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模块名称</w:t>
            </w:r>
          </w:p>
        </w:tc>
        <w:tc>
          <w:tcPr>
            <w:tcW w:w="1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模块定位</w:t>
            </w:r>
          </w:p>
        </w:tc>
        <w:tc>
          <w:tcPr>
            <w:tcW w:w="476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服务内容</w:t>
            </w: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单价（元）</w:t>
            </w:r>
          </w:p>
        </w:tc>
        <w:tc>
          <w:tcPr>
            <w:tcW w:w="10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DEDED" w:themeFill="accent3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</w:rPr>
              <w:t>业财税融合云上实训模块B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本模块可提升技术技能人才培养质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量、检验院校教学成果的重要抓手。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199" w:leftChars="95" w:right="0" w:firstLine="0" w:firstLineChars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通过模块能熟悉掌握业务知识与政策法规，包括会计、税务、财务等方面的内容。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199" w:leftChars="95" w:right="0" w:firstLine="0" w:firstLineChars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模块在云平台进行，能熟悉云服务器、云数据库、云存储、大数据技术工具等方面的技术知识。</w:t>
            </w:r>
          </w:p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ind w:left="199" w:leftChars="95" w:right="0" w:firstLine="0" w:firstLineChars="0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根据业务要求能通过信息技术工具熟悉大数据的应用，提高数据分析和处理能力。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/>
              <w:ind w:leftChars="95" w:right="0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  <w:tc>
          <w:tcPr>
            <w:tcW w:w="4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模块简概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以制造企业为背景，采用仿真原始凭证形式，根据企业一个月发生的主要经济业务资料，辅助业务并进行原始凭证的填制与审核、记账凭证的编制与审核、成本计算与分析、账簿的设置与登记、会计报表的编制、纳税申报、财务指标分析、税费计算与申报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内容明细：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(1)货币资金。库存现金核算及清查；银行存款核算与对账；其他货币资金的核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(2)应收及预付款项。应收票据、应收账款、预付账款和其他应收款、应收股利、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应收利息、长期应收款的核算、应收款项的减值等。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(3)金融资产。以公允价值计量且其变动计入当期损益的金融资产；以摊余成本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计量的金融资产；以公允价值计量且其变动计入其他综合收益的金融资产等。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(4)存货。存货(原材料、库存商品、委托加工物资、周转材料)收入、发出的核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算；存货清查；存货减值等。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(5)长期股权投资。长期股权投资成本法的核算；长期股权投资权益法的核算；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长期股权投资减值等。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(6)固定资产和投资性房地产。固定资产增加、减少、折旧的核算；固定资产后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续支出的核算；固定资产清查；固定资产减值；投资性房地产的取得、后续计量及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处置的核算等。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(7)无形资产及其他资产。无形资产的取得、摊销及处置的核算；无形资产减值；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其他资产的核算等。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(8)流动负债。短期借款的核算；应付及预收款项的核算；应付职工薪酬的核算；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应交税费的核算；应付股利、应付利息及其他应付款的核算等。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(9)长期负债。长期借款的核算；应付债券的核算；长期应付款的核算等。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(10)债务重组的核算等。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(11)非货币性资产交换的核算等。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(12)所有者权益的核算。投入资本的核算；直接计入所有者权益利得与损失的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核算；其他综合收益的核算；留存收益的核算等。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(13)收入。收入的确认与计量；在某一时段内履行的履约义务收入的确认与核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算；在某一时点内履行的履约义务收入的确认与核算等。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(14)费用。营业成本的核算；税金及附加的核算；期间费用的核算等。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(15)产品成本核算。要素费用的归集和分配；生产费用在完工产品和在产品之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间的归集和分配；产品生产成本的计算，包括品种法、分批法、分步法等方法等。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(16)利润。营业外收入、营业外支出的核算；所得税费用的核算；损益的结转、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本年利润的结转和利润分配的核算等。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(17)财务会计报告。资产负债表、利润表等。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(18)财务分析。偿债能力指标分析、营运能力指标分析等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(19)税费计算与申报。增值税、消费税、企业所得税、个人所得税、城市维护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建设税与教育费附加、房产税、车船税、城镇土地使用税、印花税的计算；增值税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的纳税申报、个人所得税的纳税申报等。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技术指标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1.系统架构基于微服务框架进行架构，支持快速水平扩展，支持高并发，高可用的业务需求。实现系统模块灵活配置，数据动静分离；windows,linux,Mac,树莓派等主流操作系统;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2.系统使用mysql开源数据库，可任意切换到目前主流的数据库上面Access、SqlServer、Oracle、SQLite、PostgreSQL、DaMeng、DB2、TDengine，可通过水平扩展来达到高可用性和高性能;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4.系统采用当前流行的.Net 6、ASP.NET Core Web、XCode技术框架，展现层需要通过vue+ elementUI全家桶实现，实现前后端分离；模型层通过API接口及实现类来实现，通过网关统一入口访问各个微服务；与数据库的接口采用轻量级封装XCode提供的接口；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5.系统集成Serilog日志系统，记录系统日志，快速定位排查线上问题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6.系统可以抵御常用攻击手段，如SQL注入，CSRF，XSS等;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7.系统使用redis缓存数据库来进行用户数据的缓存，增加系统响应速度并优化用户的体验;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8.统一的配置中心consul，配置即时生效，可以支持快速根据业务需求调整参数;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9.系统实现单点登录，提供用户的统一登录入口，系统管理员、教务管理员、教师、学生统一登陆入口，只需输入各自的用户名及密码即可登录，且最少支持2000人同时登录,系统支持快速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扩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容;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10.所有服务均采用Linux服务器部署，快速快捷容。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11.消息机制采用WebSocet技术，后端采用NewLife.Core服务器，实现数据实时同步；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12.并发保采用KAFKA MQ日消息队列，保学生的作答练习、任务不卡，提交的数据不丢失。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13.采用的HAproxy+Nginx负载均衡，提高并发量。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14.myql-proxy代理，提高数据库访问量。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15.系统提供Elasticsearch：分布式多用户能力的全文搜索引擎，支持对所有课程资源文件全文检索。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16.Jenkins+gitlab+Publish Over SSH+shell+python实现自动部署。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17.web访火墙，提升防功击性。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18.系统支持Windows系统部署，采用B/S架构设计的Sass云平台，使用.Net开发技术，无需安装特定软件，应用可以跨操作系统部署。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19.系统在互联网下运行，只需要通过浏览器访问给定网址即可，通过账号和密码登录使用服务，无需加密狗等。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20.平台服务托管在云端，无需学校提供额外的硬件支持。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21.系统支持团队练习与实训教学,可单独使用，也可结合应用。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22.最小网络带宽：1000 Mbps（含）以上。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 w:firstLine="200" w:firstLineChars="1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23.浏览器：推荐使用BLINK内核的浏览器，如360浏览器或谷歌chrome浏览器。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四、功能参数：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1.自主训练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（个人自主模式训练）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支持题目展示、自动读取数据订单，当前用户做题数据进度展示，一键训练。支持已交卷历史记录作答详情查询及任务作答记录查看，支持对历史记录下成绩排名。支持任务答题时间统计、允许自主岗位角色切换并选择，题总数统计，支持任务题目分岗位展示，支持多题型、支持综合、多选、单选、图表、分录、表格等题型答题。支持EXCEL数据一键粘贴数据，支持自主模式下答题自动判断对错，支持错误处高亮标记，支持对当前提交题目分值计算。支持已答、未答、答错、答对题目标识、支持题目特殊标记。支持单题目答案与解析查看、清空当前题目答案，支持核算会计账簿查询、支持方法会计，系统自带计算器工具，支持交卷，并统计任务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2.模拟训练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（模拟真实考场环境测验）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支持任务展示、自动读取数据订单，当前用户做题数据进度展示，一键模拟训练。支持已交卷历史记录作答详情查询及任务作答记录查看，支持对历史记录下成绩排名。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根据要求时间支持任务倒计时测验、个人训练支持多岗位切换答题、题总数统计，支持任务题目分岗位展示，支持多题型、支持综合、多选、单选、图表、分录、表格等题型答题。支持EXCEL数据一键粘贴数据，支持模拟模式下答题自动判断对错，支持对当前提交题目分值统计计算，交卷后展示错误处及得分详情，支持已答、未答、题目标识、支持题目特殊标记。支持单题目答案与解析查看、清空当前题目答案，支持核算会计账簿查询、支持方法会计，系统自带计算器工具，支持交卷，并统计任务分值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校内考核：支持校内考核任务查看、支持密码验证参与校考核、支持进行校内考核卷面答题。支持个人自主训练模块错题分析、支持单个题目错误率统计，支持个人练习分析，支持统计历史记录中个人最高分、平均分计算，支持个人历史记录中交卷的记录及各自得分、排名统计，支持手机号换绑操作、支持通过手机号找回密码、支持手机短信快捷登录账号，支持任务展示、自动读取数据订单，支持对任务开放权限管控，支持浏览任务详情，支持创建校考核任务，支持个人考核、团队考核任务创建，支持自主设置考试时长、支持对答案和解析权限控制、支持团队考核多个团队共同参与、支持学生参考加密解密处理。支持任务列表管理，支持发布当前任务，支持任务查询详情、删除或编辑当前任务，任务进行中，支持对学生端答题情况实时监控（考生答题分值及作答数）及当前任务成绩统计统计与分析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任务结束后，支持统计成绩查询并统计，支持删除已结束任务。支持手机号换绑操作、支持通过手机号找回密码、支持手机短信快捷登录账号、支持绑定院系修改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00" w:firstLineChars="100"/>
              <w:jc w:val="left"/>
              <w:textAlignment w:val="bottom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套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bottom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合计（元）</w:t>
            </w:r>
          </w:p>
        </w:tc>
        <w:tc>
          <w:tcPr>
            <w:tcW w:w="4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1200" w:firstLineChars="5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报价公司(公司名称）：                                       联系人：                            联系电话：</w:t>
      </w: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496E4"/>
    <w:multiLevelType w:val="singleLevel"/>
    <w:tmpl w:val="E2349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9F79EB"/>
    <w:multiLevelType w:val="singleLevel"/>
    <w:tmpl w:val="F39F7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F76333"/>
    <w:multiLevelType w:val="multilevel"/>
    <w:tmpl w:val="05F76333"/>
    <w:lvl w:ilvl="0" w:tentative="0">
      <w:start w:val="2"/>
      <w:numFmt w:val="decimal"/>
      <w:pStyle w:val="4"/>
      <w:lvlText w:val="%1"/>
      <w:lvlJc w:val="left"/>
      <w:pPr>
        <w:ind w:left="360" w:hanging="360"/>
      </w:pPr>
      <w:rPr>
        <w:rFonts w:hint="default" w:eastAsia="宋体"/>
        <w:b/>
      </w:rPr>
    </w:lvl>
    <w:lvl w:ilvl="1" w:tentative="0">
      <w:start w:val="1"/>
      <w:numFmt w:val="decimal"/>
      <w:lvlText w:val="%1-%2"/>
      <w:lvlJc w:val="left"/>
      <w:pPr>
        <w:ind w:left="900" w:hanging="360"/>
      </w:pPr>
      <w:rPr>
        <w:rFonts w:hint="default" w:eastAsia="宋体"/>
        <w:b/>
      </w:rPr>
    </w:lvl>
    <w:lvl w:ilvl="2" w:tentative="0">
      <w:start w:val="1"/>
      <w:numFmt w:val="decimal"/>
      <w:lvlText w:val="%1-%2.%3"/>
      <w:lvlJc w:val="left"/>
      <w:pPr>
        <w:ind w:left="1800" w:hanging="720"/>
      </w:pPr>
      <w:rPr>
        <w:rFonts w:hint="default" w:eastAsia="宋体"/>
        <w:b/>
      </w:rPr>
    </w:lvl>
    <w:lvl w:ilvl="3" w:tentative="0">
      <w:start w:val="1"/>
      <w:numFmt w:val="decimal"/>
      <w:lvlText w:val="%1-%2.%3.%4"/>
      <w:lvlJc w:val="left"/>
      <w:pPr>
        <w:ind w:left="2700" w:hanging="1080"/>
      </w:pPr>
      <w:rPr>
        <w:rFonts w:hint="default" w:eastAsia="宋体"/>
        <w:b/>
      </w:rPr>
    </w:lvl>
    <w:lvl w:ilvl="4" w:tentative="0">
      <w:start w:val="1"/>
      <w:numFmt w:val="decimal"/>
      <w:lvlText w:val="%1-%2.%3.%4.%5"/>
      <w:lvlJc w:val="left"/>
      <w:pPr>
        <w:ind w:left="3240" w:hanging="1080"/>
      </w:pPr>
      <w:rPr>
        <w:rFonts w:hint="default" w:eastAsia="宋体"/>
        <w:b/>
      </w:rPr>
    </w:lvl>
    <w:lvl w:ilvl="5" w:tentative="0">
      <w:start w:val="1"/>
      <w:numFmt w:val="decimal"/>
      <w:lvlText w:val="%1-%2.%3.%4.%5.%6"/>
      <w:lvlJc w:val="left"/>
      <w:pPr>
        <w:ind w:left="4140" w:hanging="1440"/>
      </w:pPr>
      <w:rPr>
        <w:rFonts w:hint="default" w:eastAsia="宋体"/>
        <w:b/>
      </w:rPr>
    </w:lvl>
    <w:lvl w:ilvl="6" w:tentative="0">
      <w:start w:val="1"/>
      <w:numFmt w:val="decimal"/>
      <w:lvlText w:val="%1-%2.%3.%4.%5.%6.%7"/>
      <w:lvlJc w:val="left"/>
      <w:pPr>
        <w:ind w:left="4680" w:hanging="1440"/>
      </w:pPr>
      <w:rPr>
        <w:rFonts w:hint="default" w:eastAsia="宋体"/>
        <w:b/>
      </w:rPr>
    </w:lvl>
    <w:lvl w:ilvl="7" w:tentative="0">
      <w:start w:val="1"/>
      <w:numFmt w:val="decimal"/>
      <w:lvlText w:val="%1-%2.%3.%4.%5.%6.%7.%8"/>
      <w:lvlJc w:val="left"/>
      <w:pPr>
        <w:ind w:left="5580" w:hanging="1800"/>
      </w:pPr>
      <w:rPr>
        <w:rFonts w:hint="default" w:eastAsia="宋体"/>
        <w:b/>
      </w:rPr>
    </w:lvl>
    <w:lvl w:ilvl="8" w:tentative="0">
      <w:start w:val="1"/>
      <w:numFmt w:val="decimal"/>
      <w:lvlText w:val="%1-%2.%3.%4.%5.%6.%7.%8.%9"/>
      <w:lvlJc w:val="left"/>
      <w:pPr>
        <w:ind w:left="6120" w:hanging="1800"/>
      </w:pPr>
      <w:rPr>
        <w:rFonts w:hint="default" w:eastAsia="宋体"/>
        <w:b/>
      </w:rPr>
    </w:lvl>
  </w:abstractNum>
  <w:abstractNum w:abstractNumId="3">
    <w:nsid w:val="77D4426B"/>
    <w:multiLevelType w:val="multilevel"/>
    <w:tmpl w:val="77D4426B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5E550517"/>
    <w:rsid w:val="13D81A46"/>
    <w:rsid w:val="31587246"/>
    <w:rsid w:val="31F15EB9"/>
    <w:rsid w:val="3DD27D81"/>
    <w:rsid w:val="5E550517"/>
    <w:rsid w:val="666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widowControl w:val="0"/>
      <w:numPr>
        <w:ilvl w:val="0"/>
        <w:numId w:val="1"/>
      </w:numPr>
      <w:spacing w:before="340" w:after="330" w:line="576" w:lineRule="auto"/>
      <w:jc w:val="both"/>
      <w:outlineLvl w:val="0"/>
    </w:pPr>
    <w:rPr>
      <w:rFonts w:eastAsia="仿宋" w:asciiTheme="minorAscii" w:hAnsiTheme="minorAscii" w:cstheme="minorBidi"/>
      <w:b/>
      <w:kern w:val="44"/>
      <w:sz w:val="44"/>
      <w:szCs w:val="22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2"/>
      </w:numPr>
      <w:spacing w:before="260" w:after="120" w:line="360" w:lineRule="auto"/>
      <w:ind w:left="425" w:hanging="425"/>
      <w:outlineLvl w:val="1"/>
    </w:pPr>
    <w:rPr>
      <w:rFonts w:ascii="宋体" w:hAnsi="宋体" w:eastAsia="宋体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keepNext w:val="0"/>
      <w:keepLines w:val="0"/>
      <w:widowControl w:val="0"/>
      <w:suppressLineNumbers w:val="0"/>
      <w:ind w:left="860" w:firstLine="420" w:firstLineChars="100"/>
      <w:jc w:val="both"/>
    </w:pPr>
    <w:rPr>
      <w:rFonts w:hint="default" w:ascii="Calibri" w:hAnsi="Calibri" w:eastAsia="等线" w:cs="Times New Roman"/>
      <w:kern w:val="2"/>
      <w:sz w:val="28"/>
      <w:szCs w:val="28"/>
      <w:lang w:val="en-US" w:eastAsia="zh-CN" w:bidi="ar"/>
    </w:rPr>
  </w:style>
  <w:style w:type="character" w:customStyle="1" w:styleId="7">
    <w:name w:val="标题 2 Char"/>
    <w:link w:val="4"/>
    <w:qFormat/>
    <w:uiPriority w:val="0"/>
    <w:rPr>
      <w:rFonts w:ascii="宋体" w:hAnsi="宋体" w:eastAsia="宋体" w:cs="Times New Roman"/>
      <w:b/>
      <w:sz w:val="32"/>
      <w:szCs w:val="20"/>
    </w:rPr>
  </w:style>
  <w:style w:type="character" w:customStyle="1" w:styleId="8">
    <w:name w:val="标题 1 字符"/>
    <w:link w:val="3"/>
    <w:qFormat/>
    <w:uiPriority w:val="0"/>
    <w:rPr>
      <w:rFonts w:eastAsia="仿宋" w:asciiTheme="minorAscii" w:hAnsiTheme="minorAscii" w:cstheme="minorBidi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2023-11-16T01:49:00Z</dcterms:created>
  <dc:creator>联强国际</dc:creator>
  <cp:lastModifiedBy>唐文显</cp:lastModifiedBy>
  <dcterms:modified xsi:type="dcterms:W3CDTF">2023-12-16T03:15:55Z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BA36FC2A44754193A3EE4E4193D461FD_13</vt:lpwstr>
  </property>
</Properties>
</file>